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pacing w:before="0" w:after="0" w:line="360" w:lineRule="auto"/>
        <w:ind w:firstLine="0" w:firstLineChars="0"/>
        <w:jc w:val="center"/>
        <w:rPr>
          <w:rFonts w:eastAsia="黑体" w:cs="Times New Roman"/>
          <w:sz w:val="44"/>
        </w:rPr>
      </w:pPr>
      <w:r>
        <w:rPr>
          <w:rFonts w:eastAsia="黑体" w:cs="Times New Roman"/>
          <w:sz w:val="44"/>
        </w:rPr>
        <w:t>佛山市</w:t>
      </w:r>
      <w:r>
        <w:rPr>
          <w:rFonts w:hint="eastAsia" w:eastAsia="黑体" w:cs="Times New Roman"/>
          <w:sz w:val="44"/>
          <w:lang w:val="en-US" w:eastAsia="zh-CN"/>
        </w:rPr>
        <w:t>高明</w:t>
      </w:r>
      <w:r>
        <w:rPr>
          <w:rFonts w:eastAsia="黑体" w:cs="Times New Roman"/>
          <w:sz w:val="44"/>
        </w:rPr>
        <w:t>区202</w:t>
      </w:r>
      <w:r>
        <w:rPr>
          <w:rFonts w:hint="eastAsia" w:eastAsia="黑体" w:cs="Times New Roman"/>
          <w:sz w:val="44"/>
          <w:lang w:val="en-US" w:eastAsia="zh-CN"/>
        </w:rPr>
        <w:t>2</w:t>
      </w:r>
      <w:r>
        <w:rPr>
          <w:rFonts w:eastAsia="黑体" w:cs="Times New Roman"/>
          <w:sz w:val="44"/>
        </w:rPr>
        <w:t>年度土地征收</w:t>
      </w:r>
    </w:p>
    <w:p>
      <w:pPr>
        <w:keepNext/>
        <w:keepLines/>
        <w:spacing w:before="0" w:after="0" w:line="360" w:lineRule="auto"/>
        <w:ind w:firstLine="0" w:firstLineChars="0"/>
        <w:jc w:val="center"/>
        <w:rPr>
          <w:rFonts w:hint="eastAsia" w:eastAsia="黑体" w:cs="Times New Roman"/>
          <w:sz w:val="44"/>
          <w:lang w:val="en-US" w:eastAsia="zh-CN"/>
        </w:rPr>
      </w:pPr>
      <w:r>
        <w:rPr>
          <w:rFonts w:eastAsia="黑体" w:cs="Times New Roman"/>
          <w:sz w:val="44"/>
        </w:rPr>
        <w:t>成片开发方案</w:t>
      </w:r>
      <w:r>
        <w:rPr>
          <w:rFonts w:hint="eastAsia" w:eastAsia="黑体" w:cs="Times New Roman"/>
          <w:sz w:val="44"/>
          <w:lang w:eastAsia="zh-CN"/>
        </w:rPr>
        <w:t>（</w:t>
      </w:r>
      <w:r>
        <w:rPr>
          <w:rFonts w:hint="eastAsia" w:eastAsia="黑体" w:cs="Times New Roman"/>
          <w:sz w:val="44"/>
          <w:lang w:val="en-US" w:eastAsia="zh-CN"/>
        </w:rPr>
        <w:t>草案</w:t>
      </w:r>
      <w:r>
        <w:rPr>
          <w:rFonts w:hint="eastAsia" w:eastAsia="黑体" w:cs="Times New Roman"/>
          <w:sz w:val="44"/>
          <w:lang w:eastAsia="zh-CN"/>
        </w:rPr>
        <w:t>）</w:t>
      </w:r>
    </w:p>
    <w:p>
      <w:pPr>
        <w:pStyle w:val="9"/>
        <w:numPr>
          <w:ilvl w:val="0"/>
          <w:numId w:val="4"/>
        </w:numPr>
        <w:spacing w:before="120" w:after="120" w:line="360" w:lineRule="auto"/>
        <w:ind w:firstLine="0" w:firstLineChars="0"/>
        <w:outlineLvl w:val="0"/>
        <w:rPr>
          <w:rFonts w:hint="eastAsia" w:ascii="黑体" w:hAnsi="黑体" w:eastAsia="黑体" w:cs="黑体"/>
          <w:sz w:val="36"/>
          <w:szCs w:val="36"/>
        </w:rPr>
      </w:pPr>
      <w:bookmarkStart w:id="0" w:name="_Toc19364"/>
      <w:r>
        <w:rPr>
          <w:rFonts w:hint="eastAsia" w:ascii="黑体" w:hAnsi="黑体" w:eastAsia="黑体" w:cs="黑体"/>
          <w:sz w:val="36"/>
          <w:szCs w:val="36"/>
          <w:lang w:val="en-US" w:eastAsia="zh-CN"/>
        </w:rPr>
        <w:t>编制背景</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1月1日，《中华人民共和国土地管理法》（2019年修正）（以下简称《土地管理法》）正式实施，明确了为公共利益需要可依法征收土地的情形，文件要求除军事外交、政府组织实施的基础设施建设、公共事业，以及扶贫搬迁、保障性安居工程建设需要用地可依法实施征收外，产业经营性建设用地的则需要按照相关要求通过成片开发的途径进行征地。同年，自然资源部印发《土地征收成片开发标准（试行）的通知》（自然资规〔2020〕5号）（以下简称《标准》），进一步明确了成片开发范围划定、方案编制等要求，土地征收成片开发制度全面实施</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为满足城市发展用地需求，规范征地程序，保障被征地农民合法权益，根据《中华人民共和国土地管理法》等政策规定，佛山市</w:t>
      </w:r>
      <w:r>
        <w:rPr>
          <w:rFonts w:hint="eastAsia" w:ascii="仿宋_GB2312" w:hAnsi="仿宋_GB2312" w:eastAsia="仿宋_GB2312" w:cs="仿宋_GB2312"/>
          <w:sz w:val="32"/>
          <w:szCs w:val="32"/>
          <w:lang w:val="en-US" w:eastAsia="zh-CN"/>
        </w:rPr>
        <w:t>高明</w:t>
      </w:r>
      <w:r>
        <w:rPr>
          <w:rFonts w:hint="eastAsia" w:ascii="仿宋_GB2312" w:hAnsi="仿宋_GB2312" w:eastAsia="仿宋_GB2312" w:cs="仿宋_GB2312"/>
          <w:sz w:val="32"/>
          <w:szCs w:val="32"/>
        </w:rPr>
        <w:t>区人民政府组织编制了本方案。</w:t>
      </w:r>
    </w:p>
    <w:p>
      <w:pPr>
        <w:pStyle w:val="9"/>
        <w:numPr>
          <w:ilvl w:val="0"/>
          <w:numId w:val="4"/>
        </w:numPr>
        <w:spacing w:before="120" w:after="120" w:line="360" w:lineRule="auto"/>
        <w:ind w:firstLine="0" w:firstLineChars="0"/>
        <w:outlineLvl w:val="0"/>
        <w:rPr>
          <w:rFonts w:hint="eastAsia" w:ascii="黑体" w:hAnsi="黑体" w:eastAsia="黑体" w:cs="黑体"/>
          <w:sz w:val="36"/>
          <w:szCs w:val="36"/>
        </w:rPr>
      </w:pPr>
      <w:r>
        <w:rPr>
          <w:rFonts w:hint="eastAsia" w:ascii="黑体" w:hAnsi="黑体" w:eastAsia="黑体" w:cs="黑体"/>
          <w:sz w:val="36"/>
          <w:szCs w:val="36"/>
        </w:rPr>
        <w:t>编制依据</w:t>
      </w:r>
      <w:bookmarkEnd w:id="0"/>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依据《中华人民共和国土地管理法》（2019年修正）、《自然资源部关于印发〈土地征收成片开发标准（试行）〉的通知》（自然资规〔2020〕5 号）等文件规定，编制《佛山市高明区2022年度土地征收成片开发方案》。</w:t>
      </w:r>
    </w:p>
    <w:p>
      <w:pPr>
        <w:pStyle w:val="2"/>
        <w:rPr>
          <w:rFonts w:hint="eastAsia"/>
          <w:lang w:val="en-US" w:eastAsia="zh-CN"/>
        </w:rPr>
      </w:pPr>
    </w:p>
    <w:p>
      <w:pPr>
        <w:pStyle w:val="9"/>
        <w:numPr>
          <w:ilvl w:val="0"/>
          <w:numId w:val="4"/>
        </w:numPr>
        <w:spacing w:before="120" w:after="120" w:line="360" w:lineRule="auto"/>
        <w:ind w:firstLine="0" w:firstLineChars="0"/>
        <w:outlineLvl w:val="0"/>
        <w:rPr>
          <w:rFonts w:hint="eastAsia" w:ascii="黑体" w:hAnsi="黑体" w:eastAsia="黑体" w:cs="黑体"/>
          <w:sz w:val="36"/>
          <w:szCs w:val="36"/>
        </w:rPr>
      </w:pPr>
      <w:bookmarkStart w:id="1" w:name="_Toc24175"/>
      <w:r>
        <w:rPr>
          <w:rFonts w:hint="eastAsia" w:ascii="黑体" w:hAnsi="黑体" w:eastAsia="黑体" w:cs="黑体"/>
          <w:sz w:val="36"/>
          <w:szCs w:val="36"/>
        </w:rPr>
        <w:t>成片开发范围基本情况</w:t>
      </w:r>
      <w:bookmarkEnd w:id="1"/>
    </w:p>
    <w:p>
      <w:pPr>
        <w:spacing w:line="560" w:lineRule="exact"/>
        <w:ind w:firstLine="640" w:firstLineChars="0"/>
        <w:jc w:val="both"/>
        <w:rPr>
          <w:rFonts w:hint="eastAsia" w:ascii="仿宋_GB2312" w:hAnsi="仿宋_GB2312" w:eastAsia="仿宋_GB2312" w:cs="仿宋_GB2312"/>
          <w:b w:val="0"/>
          <w:bCs w:val="0"/>
          <w:sz w:val="32"/>
          <w:szCs w:val="32"/>
          <w:lang w:val="en-US" w:eastAsia="zh-CN"/>
        </w:rPr>
        <w:sectPr>
          <w:footerReference r:id="rId5" w:type="default"/>
          <w:pgSz w:w="11906" w:h="16838"/>
          <w:pgMar w:top="1440" w:right="1797" w:bottom="1440" w:left="1797" w:header="851" w:footer="992" w:gutter="0"/>
          <w:pgNumType w:fmt="decimal" w:start="1"/>
          <w:cols w:space="0" w:num="1"/>
          <w:rtlGutter w:val="0"/>
          <w:docGrid w:type="lines" w:linePitch="395" w:charSpace="0"/>
        </w:sectPr>
      </w:pPr>
      <w:r>
        <w:rPr>
          <w:rFonts w:hint="eastAsia" w:ascii="仿宋_GB2312" w:hAnsi="仿宋_GB2312" w:eastAsia="仿宋_GB2312" w:cs="仿宋_GB2312"/>
          <w:sz w:val="32"/>
          <w:szCs w:val="32"/>
          <w:lang w:val="en-US" w:eastAsia="zh-CN"/>
        </w:rPr>
        <w:t>本次成片开发范围为高明区行政辖区内拟进行成片开发区域。根据划定原则，结合高明区荷城街道、明城镇和更合镇2022-2024年度土地征收工作和拟开发项目的连片程度，共划定27个成片开发片区，总面积393.5123公顷，拟征收土地面积257.8326公顷。</w:t>
      </w:r>
    </w:p>
    <w:p>
      <w:pPr>
        <w:pStyle w:val="9"/>
        <w:ind w:firstLine="0" w:firstLineChars="0"/>
        <w:jc w:val="cente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表3-1 各成片开发片区基本情况汇总表</w:t>
      </w:r>
    </w:p>
    <w:tbl>
      <w:tblPr>
        <w:tblStyle w:val="17"/>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23"/>
        <w:gridCol w:w="1587"/>
        <w:gridCol w:w="1428"/>
        <w:gridCol w:w="1422"/>
        <w:gridCol w:w="1422"/>
        <w:gridCol w:w="72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jc w:val="center"/>
        </w:trPr>
        <w:tc>
          <w:tcPr>
            <w:tcW w:w="361" w:type="pct"/>
            <w:vMerge w:val="restar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b/>
                <w:bCs/>
                <w:i w:val="0"/>
                <w:iCs w:val="0"/>
                <w:sz w:val="21"/>
                <w:szCs w:val="21"/>
                <w:u w:val="none"/>
              </w:rPr>
            </w:pPr>
            <w:r>
              <w:rPr>
                <w:rFonts w:hint="eastAsia" w:ascii="仿宋_GB2312" w:hAnsi="仿宋_GB2312" w:eastAsia="仿宋_GB2312" w:cs="仿宋_GB2312"/>
                <w:b/>
                <w:bCs/>
                <w:i w:val="0"/>
                <w:iCs w:val="0"/>
                <w:kern w:val="2"/>
                <w:sz w:val="21"/>
                <w:szCs w:val="21"/>
                <w:u w:val="none"/>
                <w:lang w:val="en-US" w:eastAsia="zh-CN" w:bidi="ar"/>
              </w:rPr>
              <w:t>序号</w:t>
            </w:r>
          </w:p>
        </w:tc>
        <w:tc>
          <w:tcPr>
            <w:tcW w:w="560" w:type="pct"/>
            <w:vMerge w:val="restar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b/>
                <w:bCs/>
                <w:i w:val="0"/>
                <w:iCs w:val="0"/>
                <w:sz w:val="21"/>
                <w:szCs w:val="21"/>
                <w:u w:val="none"/>
              </w:rPr>
            </w:pPr>
            <w:r>
              <w:rPr>
                <w:rFonts w:hint="eastAsia" w:ascii="仿宋_GB2312" w:hAnsi="仿宋_GB2312" w:eastAsia="仿宋_GB2312" w:cs="仿宋_GB2312"/>
                <w:b/>
                <w:bCs/>
                <w:i w:val="0"/>
                <w:iCs w:val="0"/>
                <w:kern w:val="2"/>
                <w:sz w:val="21"/>
                <w:szCs w:val="21"/>
                <w:u w:val="none"/>
                <w:lang w:val="en-US" w:eastAsia="zh-CN" w:bidi="ar"/>
              </w:rPr>
              <w:t>成片开发片区名称</w:t>
            </w:r>
          </w:p>
        </w:tc>
        <w:tc>
          <w:tcPr>
            <w:tcW w:w="504" w:type="pct"/>
            <w:vMerge w:val="restar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b/>
                <w:bCs/>
                <w:i w:val="0"/>
                <w:iCs w:val="0"/>
                <w:sz w:val="21"/>
                <w:szCs w:val="21"/>
                <w:u w:val="none"/>
              </w:rPr>
            </w:pPr>
            <w:r>
              <w:rPr>
                <w:rFonts w:hint="eastAsia" w:ascii="仿宋_GB2312" w:hAnsi="仿宋_GB2312" w:eastAsia="仿宋_GB2312" w:cs="仿宋_GB2312"/>
                <w:b/>
                <w:bCs/>
                <w:i w:val="0"/>
                <w:iCs w:val="0"/>
                <w:kern w:val="2"/>
                <w:sz w:val="21"/>
                <w:szCs w:val="21"/>
                <w:u w:val="none"/>
                <w:lang w:val="en-US" w:eastAsia="zh-CN" w:bidi="ar"/>
              </w:rPr>
              <w:t>片区位置</w:t>
            </w:r>
          </w:p>
        </w:tc>
        <w:tc>
          <w:tcPr>
            <w:tcW w:w="502" w:type="pct"/>
            <w:vMerge w:val="restar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b/>
                <w:bCs/>
                <w:i w:val="0"/>
                <w:iCs w:val="0"/>
                <w:sz w:val="21"/>
                <w:szCs w:val="21"/>
                <w:u w:val="none"/>
              </w:rPr>
            </w:pPr>
            <w:r>
              <w:rPr>
                <w:rFonts w:hint="eastAsia" w:ascii="仿宋_GB2312" w:hAnsi="仿宋_GB2312" w:eastAsia="仿宋_GB2312" w:cs="仿宋_GB2312"/>
                <w:b/>
                <w:bCs/>
                <w:i w:val="0"/>
                <w:iCs w:val="0"/>
                <w:kern w:val="2"/>
                <w:sz w:val="21"/>
                <w:szCs w:val="21"/>
                <w:u w:val="none"/>
                <w:lang w:val="en-US" w:eastAsia="zh-CN" w:bidi="ar"/>
              </w:rPr>
              <w:t>拟征收土地面积</w:t>
            </w:r>
            <w:r>
              <w:rPr>
                <w:rFonts w:hint="eastAsia" w:ascii="仿宋_GB2312" w:hAnsi="仿宋_GB2312" w:eastAsia="仿宋_GB2312" w:cs="仿宋_GB2312"/>
                <w:b/>
                <w:bCs/>
                <w:i w:val="0"/>
                <w:iCs w:val="0"/>
                <w:kern w:val="2"/>
                <w:sz w:val="21"/>
                <w:szCs w:val="21"/>
                <w:u w:val="none"/>
                <w:lang w:val="en-US" w:eastAsia="zh-CN" w:bidi="ar"/>
              </w:rPr>
              <w:br w:type="textWrapping"/>
            </w:r>
            <w:r>
              <w:rPr>
                <w:rFonts w:hint="eastAsia" w:ascii="仿宋_GB2312" w:hAnsi="仿宋_GB2312" w:eastAsia="仿宋_GB2312" w:cs="仿宋_GB2312"/>
                <w:b/>
                <w:bCs/>
                <w:i w:val="0"/>
                <w:iCs w:val="0"/>
                <w:kern w:val="2"/>
                <w:sz w:val="21"/>
                <w:szCs w:val="21"/>
                <w:u w:val="none"/>
                <w:lang w:val="en-US" w:eastAsia="zh-CN" w:bidi="ar"/>
              </w:rPr>
              <w:t>（公顷）</w:t>
            </w:r>
          </w:p>
        </w:tc>
        <w:tc>
          <w:tcPr>
            <w:tcW w:w="502" w:type="pct"/>
            <w:vMerge w:val="restar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b/>
                <w:bCs/>
                <w:i w:val="0"/>
                <w:iCs w:val="0"/>
                <w:sz w:val="21"/>
                <w:szCs w:val="21"/>
                <w:u w:val="none"/>
              </w:rPr>
            </w:pPr>
            <w:r>
              <w:rPr>
                <w:rFonts w:hint="eastAsia" w:ascii="仿宋_GB2312" w:hAnsi="仿宋_GB2312" w:eastAsia="仿宋_GB2312" w:cs="仿宋_GB2312"/>
                <w:b/>
                <w:bCs/>
                <w:i w:val="0"/>
                <w:iCs w:val="0"/>
                <w:kern w:val="2"/>
                <w:sz w:val="21"/>
                <w:szCs w:val="21"/>
                <w:u w:val="none"/>
                <w:lang w:val="en-US" w:eastAsia="zh-CN" w:bidi="ar"/>
              </w:rPr>
              <w:t>片区面积</w:t>
            </w:r>
            <w:r>
              <w:rPr>
                <w:rFonts w:hint="eastAsia" w:ascii="仿宋_GB2312" w:hAnsi="仿宋_GB2312" w:eastAsia="仿宋_GB2312" w:cs="仿宋_GB2312"/>
                <w:b/>
                <w:bCs/>
                <w:i w:val="0"/>
                <w:iCs w:val="0"/>
                <w:kern w:val="2"/>
                <w:sz w:val="21"/>
                <w:szCs w:val="21"/>
                <w:u w:val="none"/>
                <w:lang w:val="en-US" w:eastAsia="zh-CN" w:bidi="ar"/>
              </w:rPr>
              <w:br w:type="textWrapping"/>
            </w:r>
            <w:r>
              <w:rPr>
                <w:rFonts w:hint="eastAsia" w:ascii="仿宋_GB2312" w:hAnsi="仿宋_GB2312" w:eastAsia="仿宋_GB2312" w:cs="仿宋_GB2312"/>
                <w:b/>
                <w:bCs/>
                <w:i w:val="0"/>
                <w:iCs w:val="0"/>
                <w:kern w:val="2"/>
                <w:sz w:val="21"/>
                <w:szCs w:val="21"/>
                <w:u w:val="none"/>
                <w:lang w:val="en-US" w:eastAsia="zh-CN" w:bidi="ar"/>
              </w:rPr>
              <w:t>（公顷）</w:t>
            </w:r>
          </w:p>
        </w:tc>
        <w:tc>
          <w:tcPr>
            <w:tcW w:w="2570" w:type="pct"/>
            <w:vMerge w:val="restar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b/>
                <w:bCs/>
                <w:i w:val="0"/>
                <w:iCs w:val="0"/>
                <w:sz w:val="21"/>
                <w:szCs w:val="21"/>
                <w:u w:val="none"/>
              </w:rPr>
            </w:pPr>
            <w:r>
              <w:rPr>
                <w:rFonts w:hint="eastAsia" w:ascii="仿宋_GB2312" w:hAnsi="仿宋_GB2312" w:eastAsia="仿宋_GB2312" w:cs="仿宋_GB2312"/>
                <w:b/>
                <w:bCs/>
                <w:i w:val="0"/>
                <w:iCs w:val="0"/>
                <w:kern w:val="2"/>
                <w:sz w:val="21"/>
                <w:szCs w:val="21"/>
                <w:u w:val="none"/>
                <w:lang w:val="en-US" w:eastAsia="zh-CN" w:bidi="ar"/>
              </w:rPr>
              <w:t>现状土地利用情况及基础设施条件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7" w:hRule="atLeast"/>
          <w:tblHeader/>
          <w:jc w:val="center"/>
        </w:trPr>
        <w:tc>
          <w:tcPr>
            <w:tcW w:w="361" w:type="pct"/>
            <w:vMerge w:val="continue"/>
            <w:shd w:val="clear" w:color="auto" w:fill="auto"/>
            <w:vAlign w:val="center"/>
          </w:tcPr>
          <w:p>
            <w:pPr>
              <w:spacing w:line="240" w:lineRule="auto"/>
              <w:ind w:firstLine="0" w:firstLineChars="0"/>
              <w:jc w:val="center"/>
              <w:rPr>
                <w:rFonts w:hint="eastAsia" w:ascii="仿宋_GB2312" w:hAnsi="仿宋_GB2312" w:eastAsia="仿宋_GB2312" w:cs="仿宋_GB2312"/>
                <w:b w:val="0"/>
                <w:bCs w:val="0"/>
                <w:i w:val="0"/>
                <w:iCs w:val="0"/>
                <w:sz w:val="21"/>
                <w:szCs w:val="21"/>
                <w:u w:val="none"/>
              </w:rPr>
            </w:pPr>
          </w:p>
        </w:tc>
        <w:tc>
          <w:tcPr>
            <w:tcW w:w="560" w:type="pct"/>
            <w:vMerge w:val="continue"/>
            <w:shd w:val="clear" w:color="auto" w:fill="auto"/>
            <w:vAlign w:val="center"/>
          </w:tcPr>
          <w:p>
            <w:pPr>
              <w:spacing w:line="240" w:lineRule="auto"/>
              <w:ind w:firstLine="0" w:firstLineChars="0"/>
              <w:jc w:val="center"/>
              <w:rPr>
                <w:rFonts w:hint="eastAsia" w:ascii="仿宋_GB2312" w:hAnsi="仿宋_GB2312" w:eastAsia="仿宋_GB2312" w:cs="仿宋_GB2312"/>
                <w:b w:val="0"/>
                <w:bCs w:val="0"/>
                <w:i w:val="0"/>
                <w:iCs w:val="0"/>
                <w:sz w:val="21"/>
                <w:szCs w:val="21"/>
                <w:u w:val="none"/>
              </w:rPr>
            </w:pPr>
          </w:p>
        </w:tc>
        <w:tc>
          <w:tcPr>
            <w:tcW w:w="504" w:type="pct"/>
            <w:vMerge w:val="continue"/>
            <w:shd w:val="clear" w:color="auto" w:fill="auto"/>
            <w:vAlign w:val="center"/>
          </w:tcPr>
          <w:p>
            <w:pPr>
              <w:spacing w:line="240" w:lineRule="auto"/>
              <w:ind w:firstLine="0" w:firstLineChars="0"/>
              <w:jc w:val="center"/>
              <w:rPr>
                <w:rFonts w:hint="eastAsia" w:ascii="仿宋_GB2312" w:hAnsi="仿宋_GB2312" w:eastAsia="仿宋_GB2312" w:cs="仿宋_GB2312"/>
                <w:b w:val="0"/>
                <w:bCs w:val="0"/>
                <w:i w:val="0"/>
                <w:iCs w:val="0"/>
                <w:sz w:val="21"/>
                <w:szCs w:val="21"/>
                <w:u w:val="none"/>
              </w:rPr>
            </w:pPr>
          </w:p>
        </w:tc>
        <w:tc>
          <w:tcPr>
            <w:tcW w:w="502" w:type="pct"/>
            <w:vMerge w:val="continue"/>
            <w:shd w:val="clear" w:color="auto" w:fill="auto"/>
            <w:vAlign w:val="center"/>
          </w:tcPr>
          <w:p>
            <w:pPr>
              <w:spacing w:line="240" w:lineRule="auto"/>
              <w:ind w:firstLine="0" w:firstLineChars="0"/>
              <w:jc w:val="center"/>
              <w:rPr>
                <w:rFonts w:hint="eastAsia" w:ascii="仿宋_GB2312" w:hAnsi="仿宋_GB2312" w:eastAsia="仿宋_GB2312" w:cs="仿宋_GB2312"/>
                <w:b w:val="0"/>
                <w:bCs w:val="0"/>
                <w:i w:val="0"/>
                <w:iCs w:val="0"/>
                <w:sz w:val="21"/>
                <w:szCs w:val="21"/>
                <w:u w:val="none"/>
              </w:rPr>
            </w:pPr>
          </w:p>
        </w:tc>
        <w:tc>
          <w:tcPr>
            <w:tcW w:w="502" w:type="pct"/>
            <w:vMerge w:val="continue"/>
            <w:shd w:val="clear" w:color="auto" w:fill="auto"/>
            <w:vAlign w:val="center"/>
          </w:tcPr>
          <w:p>
            <w:pPr>
              <w:spacing w:line="240" w:lineRule="auto"/>
              <w:ind w:firstLine="0" w:firstLineChars="0"/>
              <w:jc w:val="center"/>
              <w:rPr>
                <w:rFonts w:hint="eastAsia" w:ascii="仿宋_GB2312" w:hAnsi="仿宋_GB2312" w:eastAsia="仿宋_GB2312" w:cs="仿宋_GB2312"/>
                <w:b w:val="0"/>
                <w:bCs w:val="0"/>
                <w:i w:val="0"/>
                <w:iCs w:val="0"/>
                <w:sz w:val="21"/>
                <w:szCs w:val="21"/>
                <w:u w:val="none"/>
              </w:rPr>
            </w:pPr>
          </w:p>
        </w:tc>
        <w:tc>
          <w:tcPr>
            <w:tcW w:w="2570" w:type="pct"/>
            <w:vMerge w:val="continue"/>
            <w:shd w:val="clear" w:color="auto" w:fill="auto"/>
            <w:vAlign w:val="center"/>
          </w:tcPr>
          <w:p>
            <w:pPr>
              <w:spacing w:line="240" w:lineRule="auto"/>
              <w:ind w:firstLine="0" w:firstLineChars="0"/>
              <w:jc w:val="center"/>
              <w:rPr>
                <w:rFonts w:hint="eastAsia" w:ascii="仿宋_GB2312" w:hAnsi="仿宋_GB2312" w:eastAsia="仿宋_GB2312" w:cs="仿宋_GB2312"/>
                <w:b w:val="0"/>
                <w:bCs w:val="0"/>
                <w:i w:val="0"/>
                <w:iCs w:val="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7" w:hRule="atLeast"/>
          <w:jc w:val="center"/>
        </w:trPr>
        <w:tc>
          <w:tcPr>
            <w:tcW w:w="361"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01</w:t>
            </w:r>
          </w:p>
        </w:tc>
        <w:tc>
          <w:tcPr>
            <w:tcW w:w="560"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荷富路东二片区</w:t>
            </w:r>
          </w:p>
        </w:tc>
        <w:tc>
          <w:tcPr>
            <w:tcW w:w="504"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荷城街道江湾社区</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5.1600</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8.1634</w:t>
            </w:r>
          </w:p>
        </w:tc>
        <w:tc>
          <w:tcPr>
            <w:tcW w:w="2570" w:type="pct"/>
            <w:shd w:val="clear" w:color="auto" w:fill="auto"/>
            <w:vAlign w:val="center"/>
          </w:tcPr>
          <w:p>
            <w:pPr>
              <w:keepNext w:val="0"/>
              <w:keepLines w:val="0"/>
              <w:widowControl/>
              <w:suppressLineNumbers w:val="0"/>
              <w:spacing w:line="240" w:lineRule="auto"/>
              <w:ind w:firstLine="0" w:firstLineChars="0"/>
              <w:jc w:val="left"/>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现状土地利用情况：农用地面积5.3310公顷；建设用地面积2.1535公顷，未利用地面积0.6789公顷。</w:t>
            </w:r>
            <w:r>
              <w:rPr>
                <w:rFonts w:hint="eastAsia" w:ascii="仿宋_GB2312" w:hAnsi="仿宋_GB2312" w:eastAsia="仿宋_GB2312" w:cs="仿宋_GB2312"/>
                <w:i w:val="0"/>
                <w:iCs w:val="0"/>
                <w:kern w:val="2"/>
                <w:sz w:val="21"/>
                <w:szCs w:val="21"/>
                <w:u w:val="none"/>
                <w:lang w:val="en-US" w:eastAsia="zh-CN" w:bidi="ar"/>
              </w:rPr>
              <w:br w:type="textWrapping"/>
            </w:r>
            <w:r>
              <w:rPr>
                <w:rFonts w:hint="eastAsia" w:ascii="仿宋_GB2312" w:hAnsi="仿宋_GB2312" w:eastAsia="仿宋_GB2312" w:cs="仿宋_GB2312"/>
                <w:i w:val="0"/>
                <w:iCs w:val="0"/>
                <w:kern w:val="2"/>
                <w:sz w:val="21"/>
                <w:szCs w:val="21"/>
                <w:u w:val="none"/>
                <w:lang w:val="en-US" w:eastAsia="zh-CN" w:bidi="ar"/>
              </w:rPr>
              <w:t>基础设施条件：北临兴富路，南临高富一路，西临499县道。片区周边配备有荷城街道富湾职业教育园、广东外语外贸大学附属佛山外国语学校、广二师高明附校和伟源幼儿园等教育设施；片区周边现有富湾社区卫生服务中心、富湾市场、江湾商业广场等医疗、商业服务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7" w:hRule="atLeast"/>
          <w:jc w:val="center"/>
        </w:trPr>
        <w:tc>
          <w:tcPr>
            <w:tcW w:w="361"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02</w:t>
            </w:r>
          </w:p>
        </w:tc>
        <w:tc>
          <w:tcPr>
            <w:tcW w:w="560"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电力智造园片区</w:t>
            </w:r>
          </w:p>
        </w:tc>
        <w:tc>
          <w:tcPr>
            <w:tcW w:w="504"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荷城街道江湾社区、照明社区</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10.3235</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17.2069</w:t>
            </w:r>
          </w:p>
        </w:tc>
        <w:tc>
          <w:tcPr>
            <w:tcW w:w="2570" w:type="pct"/>
            <w:shd w:val="clear" w:color="auto" w:fill="auto"/>
            <w:vAlign w:val="center"/>
          </w:tcPr>
          <w:p>
            <w:pPr>
              <w:keepNext w:val="0"/>
              <w:keepLines w:val="0"/>
              <w:widowControl/>
              <w:suppressLineNumbers w:val="0"/>
              <w:spacing w:line="240" w:lineRule="auto"/>
              <w:ind w:firstLine="0" w:firstLineChars="0"/>
              <w:jc w:val="left"/>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现状土地利用情况：农用地面积5.6859公顷；建设用地面积2.1840公顷；未利用地面积9.3370公顷。</w:t>
            </w:r>
            <w:r>
              <w:rPr>
                <w:rFonts w:hint="eastAsia" w:ascii="仿宋_GB2312" w:hAnsi="仿宋_GB2312" w:eastAsia="仿宋_GB2312" w:cs="仿宋_GB2312"/>
                <w:i w:val="0"/>
                <w:iCs w:val="0"/>
                <w:kern w:val="2"/>
                <w:sz w:val="21"/>
                <w:szCs w:val="21"/>
                <w:u w:val="none"/>
                <w:lang w:val="en-US" w:eastAsia="zh-CN" w:bidi="ar"/>
              </w:rPr>
              <w:br w:type="textWrapping"/>
            </w:r>
            <w:r>
              <w:rPr>
                <w:rFonts w:hint="eastAsia" w:ascii="仿宋_GB2312" w:hAnsi="仿宋_GB2312" w:eastAsia="仿宋_GB2312" w:cs="仿宋_GB2312"/>
                <w:i w:val="0"/>
                <w:iCs w:val="0"/>
                <w:kern w:val="2"/>
                <w:sz w:val="21"/>
                <w:szCs w:val="21"/>
                <w:u w:val="none"/>
                <w:lang w:val="en-US" w:eastAsia="zh-CN" w:bidi="ar"/>
              </w:rPr>
              <w:t>基础设施条件：北临西安河，东临499县道。片区周边配备有榴边村公园、乐杨幼儿园和榴边加油站等公共服务设施。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7" w:hRule="atLeast"/>
          <w:jc w:val="center"/>
        </w:trPr>
        <w:tc>
          <w:tcPr>
            <w:tcW w:w="361"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03</w:t>
            </w:r>
          </w:p>
        </w:tc>
        <w:tc>
          <w:tcPr>
            <w:tcW w:w="560"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照明产业基地片区</w:t>
            </w:r>
          </w:p>
        </w:tc>
        <w:tc>
          <w:tcPr>
            <w:tcW w:w="504"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荷城街道王臣村、照明社区</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8.7622</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14.5279</w:t>
            </w:r>
          </w:p>
        </w:tc>
        <w:tc>
          <w:tcPr>
            <w:tcW w:w="2570" w:type="pct"/>
            <w:shd w:val="clear" w:color="auto" w:fill="auto"/>
            <w:vAlign w:val="center"/>
          </w:tcPr>
          <w:p>
            <w:pPr>
              <w:keepNext w:val="0"/>
              <w:keepLines w:val="0"/>
              <w:widowControl/>
              <w:suppressLineNumbers w:val="0"/>
              <w:spacing w:line="240" w:lineRule="auto"/>
              <w:ind w:firstLine="0" w:firstLineChars="0"/>
              <w:jc w:val="left"/>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现状土地利用情况：农用地面积8.8073公顷；建设用地面积3.0747公顷；未利用地面积2.6459公顷。</w:t>
            </w:r>
            <w:r>
              <w:rPr>
                <w:rFonts w:hint="eastAsia" w:ascii="仿宋_GB2312" w:hAnsi="仿宋_GB2312" w:eastAsia="仿宋_GB2312" w:cs="仿宋_GB2312"/>
                <w:i w:val="0"/>
                <w:iCs w:val="0"/>
                <w:kern w:val="2"/>
                <w:sz w:val="21"/>
                <w:szCs w:val="21"/>
                <w:u w:val="none"/>
                <w:lang w:val="en-US" w:eastAsia="zh-CN" w:bidi="ar"/>
              </w:rPr>
              <w:br w:type="textWrapping"/>
            </w:r>
            <w:r>
              <w:rPr>
                <w:rFonts w:hint="eastAsia" w:ascii="仿宋_GB2312" w:hAnsi="仿宋_GB2312" w:eastAsia="仿宋_GB2312" w:cs="仿宋_GB2312"/>
                <w:i w:val="0"/>
                <w:iCs w:val="0"/>
                <w:kern w:val="2"/>
                <w:sz w:val="21"/>
                <w:szCs w:val="21"/>
                <w:u w:val="none"/>
                <w:lang w:val="en-US" w:eastAsia="zh-CN" w:bidi="ar"/>
              </w:rPr>
              <w:t>基础设施条件：北临蓬山路，南临市场路，东临荷富路。片区周边配备有照明卫生站、南蓬山森林公园、乐杨幼儿园和高明区消防大队第二中队等公共服务设施。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7" w:hRule="atLeast"/>
          <w:jc w:val="center"/>
        </w:trPr>
        <w:tc>
          <w:tcPr>
            <w:tcW w:w="361"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04</w:t>
            </w:r>
          </w:p>
        </w:tc>
        <w:tc>
          <w:tcPr>
            <w:tcW w:w="560"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莞佛高速北片区</w:t>
            </w:r>
          </w:p>
        </w:tc>
        <w:tc>
          <w:tcPr>
            <w:tcW w:w="504"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荷城街道泰兴村、照明社区</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2.1725</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3.6210</w:t>
            </w:r>
          </w:p>
        </w:tc>
        <w:tc>
          <w:tcPr>
            <w:tcW w:w="2570" w:type="pct"/>
            <w:shd w:val="clear" w:color="auto" w:fill="auto"/>
            <w:vAlign w:val="center"/>
          </w:tcPr>
          <w:p>
            <w:pPr>
              <w:keepNext w:val="0"/>
              <w:keepLines w:val="0"/>
              <w:widowControl/>
              <w:suppressLineNumbers w:val="0"/>
              <w:spacing w:line="240" w:lineRule="auto"/>
              <w:ind w:firstLine="0" w:firstLineChars="0"/>
              <w:jc w:val="left"/>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现状土地利用情况：农用地面积2.1795公顷；建设用地面积1.2817公顷；未利用地面积0.1598公顷。</w:t>
            </w:r>
            <w:r>
              <w:rPr>
                <w:rFonts w:hint="eastAsia" w:ascii="仿宋_GB2312" w:hAnsi="仿宋_GB2312" w:eastAsia="仿宋_GB2312" w:cs="仿宋_GB2312"/>
                <w:i w:val="0"/>
                <w:iCs w:val="0"/>
                <w:kern w:val="2"/>
                <w:sz w:val="21"/>
                <w:szCs w:val="21"/>
                <w:u w:val="none"/>
                <w:lang w:val="en-US" w:eastAsia="zh-CN" w:bidi="ar"/>
              </w:rPr>
              <w:br w:type="textWrapping"/>
            </w:r>
            <w:r>
              <w:rPr>
                <w:rFonts w:hint="eastAsia" w:ascii="仿宋_GB2312" w:hAnsi="仿宋_GB2312" w:eastAsia="仿宋_GB2312" w:cs="仿宋_GB2312"/>
                <w:i w:val="0"/>
                <w:iCs w:val="0"/>
                <w:kern w:val="2"/>
                <w:sz w:val="21"/>
                <w:szCs w:val="21"/>
                <w:u w:val="none"/>
                <w:lang w:val="en-US" w:eastAsia="zh-CN" w:bidi="ar"/>
              </w:rPr>
              <w:t>基础设施条件：北至市场路，南临莞佛高速，东临荷富路。片区周边配备有照明卫生站、南蓬山森林公园、高明区消防大队第二中队，规划新建中、小学校等公共服务设施。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7" w:hRule="atLeast"/>
          <w:jc w:val="center"/>
        </w:trPr>
        <w:tc>
          <w:tcPr>
            <w:tcW w:w="361"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05</w:t>
            </w:r>
          </w:p>
        </w:tc>
        <w:tc>
          <w:tcPr>
            <w:tcW w:w="560"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庆洲工业区北片区</w:t>
            </w:r>
          </w:p>
        </w:tc>
        <w:tc>
          <w:tcPr>
            <w:tcW w:w="504"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荷城街道泰兴村、庆洲社区</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37.8955</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55.8695</w:t>
            </w:r>
          </w:p>
        </w:tc>
        <w:tc>
          <w:tcPr>
            <w:tcW w:w="2570" w:type="pct"/>
            <w:shd w:val="clear" w:color="auto" w:fill="auto"/>
            <w:vAlign w:val="center"/>
          </w:tcPr>
          <w:p>
            <w:pPr>
              <w:keepNext w:val="0"/>
              <w:keepLines w:val="0"/>
              <w:widowControl/>
              <w:suppressLineNumbers w:val="0"/>
              <w:spacing w:line="240" w:lineRule="auto"/>
              <w:ind w:firstLine="0" w:firstLineChars="0"/>
              <w:jc w:val="left"/>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现状土地利用情况：农用地面积27.7118公顷；建设用地面积11.9328公顷；未利用地面积16.2249公顷。</w:t>
            </w:r>
            <w:r>
              <w:rPr>
                <w:rFonts w:hint="eastAsia" w:ascii="仿宋_GB2312" w:hAnsi="仿宋_GB2312" w:eastAsia="仿宋_GB2312" w:cs="仿宋_GB2312"/>
                <w:i w:val="0"/>
                <w:iCs w:val="0"/>
                <w:kern w:val="2"/>
                <w:sz w:val="21"/>
                <w:szCs w:val="21"/>
                <w:u w:val="none"/>
                <w:lang w:val="en-US" w:eastAsia="zh-CN" w:bidi="ar"/>
              </w:rPr>
              <w:br w:type="textWrapping"/>
            </w:r>
            <w:r>
              <w:rPr>
                <w:rFonts w:hint="eastAsia" w:ascii="仿宋_GB2312" w:hAnsi="仿宋_GB2312" w:eastAsia="仿宋_GB2312" w:cs="仿宋_GB2312"/>
                <w:i w:val="0"/>
                <w:iCs w:val="0"/>
                <w:kern w:val="2"/>
                <w:sz w:val="21"/>
                <w:szCs w:val="21"/>
                <w:u w:val="none"/>
                <w:lang w:val="en-US" w:eastAsia="zh-CN" w:bidi="ar"/>
              </w:rPr>
              <w:t>基础设施条件：北至499县道，南至丽景路，东至海华路，西至海天大道。片区周边配备有西安小学、西安幼儿园、贝贝星幼儿园、西安社区卫生服务中心、高明区如康养老服务中心等公共服务设施。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7" w:hRule="atLeast"/>
          <w:jc w:val="center"/>
        </w:trPr>
        <w:tc>
          <w:tcPr>
            <w:tcW w:w="361"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06</w:t>
            </w:r>
          </w:p>
        </w:tc>
        <w:tc>
          <w:tcPr>
            <w:tcW w:w="560"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庆洲工业区南片区</w:t>
            </w:r>
          </w:p>
        </w:tc>
        <w:tc>
          <w:tcPr>
            <w:tcW w:w="504"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荷城街道庆洲社区</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1.2849</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2.1415</w:t>
            </w:r>
          </w:p>
        </w:tc>
        <w:tc>
          <w:tcPr>
            <w:tcW w:w="2570" w:type="pct"/>
            <w:shd w:val="clear" w:color="auto" w:fill="auto"/>
            <w:vAlign w:val="center"/>
          </w:tcPr>
          <w:p>
            <w:pPr>
              <w:keepNext w:val="0"/>
              <w:keepLines w:val="0"/>
              <w:widowControl/>
              <w:suppressLineNumbers w:val="0"/>
              <w:spacing w:line="240" w:lineRule="auto"/>
              <w:ind w:firstLine="0" w:firstLineChars="0"/>
              <w:jc w:val="left"/>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现状土地利用情况：农用地面积0.0197公顷；建设用地面积0.7989公顷；未利用地面积1.3229公顷。</w:t>
            </w:r>
            <w:r>
              <w:rPr>
                <w:rFonts w:hint="eastAsia" w:ascii="仿宋_GB2312" w:hAnsi="仿宋_GB2312" w:eastAsia="仿宋_GB2312" w:cs="仿宋_GB2312"/>
                <w:i w:val="0"/>
                <w:iCs w:val="0"/>
                <w:kern w:val="2"/>
                <w:sz w:val="21"/>
                <w:szCs w:val="21"/>
                <w:u w:val="none"/>
                <w:lang w:val="en-US" w:eastAsia="zh-CN" w:bidi="ar"/>
              </w:rPr>
              <w:br w:type="textWrapping"/>
            </w:r>
            <w:r>
              <w:rPr>
                <w:rFonts w:hint="eastAsia" w:ascii="仿宋_GB2312" w:hAnsi="仿宋_GB2312" w:eastAsia="仿宋_GB2312" w:cs="仿宋_GB2312"/>
                <w:i w:val="0"/>
                <w:iCs w:val="0"/>
                <w:kern w:val="2"/>
                <w:sz w:val="21"/>
                <w:szCs w:val="21"/>
                <w:u w:val="none"/>
                <w:lang w:val="en-US" w:eastAsia="zh-CN" w:bidi="ar"/>
              </w:rPr>
              <w:t>基础设施条件：北临丽景路，东至海田路，西至海天大道。片区周边有西安小学、西安幼儿园、贝贝星幼儿园、西安社区卫生服务中心、高明区如康养老服务中心等公共服务设施。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7" w:hRule="atLeast"/>
          <w:jc w:val="center"/>
        </w:trPr>
        <w:tc>
          <w:tcPr>
            <w:tcW w:w="361"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07</w:t>
            </w:r>
          </w:p>
        </w:tc>
        <w:tc>
          <w:tcPr>
            <w:tcW w:w="560"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高明河北片区</w:t>
            </w:r>
          </w:p>
        </w:tc>
        <w:tc>
          <w:tcPr>
            <w:tcW w:w="504"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荷城街道庆洲社区</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6.2937</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10.4872</w:t>
            </w:r>
          </w:p>
        </w:tc>
        <w:tc>
          <w:tcPr>
            <w:tcW w:w="2570" w:type="pct"/>
            <w:shd w:val="clear" w:color="auto" w:fill="auto"/>
            <w:vAlign w:val="center"/>
          </w:tcPr>
          <w:p>
            <w:pPr>
              <w:keepNext w:val="0"/>
              <w:keepLines w:val="0"/>
              <w:widowControl/>
              <w:suppressLineNumbers w:val="0"/>
              <w:spacing w:line="240" w:lineRule="auto"/>
              <w:ind w:firstLine="0" w:firstLineChars="0"/>
              <w:jc w:val="left"/>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现状土地利用情况：农用地面积7.9584公顷；建设用地面积2.4936公顷；未利用地面积0.0352公顷。</w:t>
            </w:r>
            <w:r>
              <w:rPr>
                <w:rFonts w:hint="eastAsia" w:ascii="仿宋_GB2312" w:hAnsi="仿宋_GB2312" w:eastAsia="仿宋_GB2312" w:cs="仿宋_GB2312"/>
                <w:i w:val="0"/>
                <w:iCs w:val="0"/>
                <w:kern w:val="2"/>
                <w:sz w:val="21"/>
                <w:szCs w:val="21"/>
                <w:u w:val="none"/>
                <w:lang w:val="en-US" w:eastAsia="zh-CN" w:bidi="ar"/>
              </w:rPr>
              <w:br w:type="textWrapping"/>
            </w:r>
            <w:r>
              <w:rPr>
                <w:rFonts w:hint="eastAsia" w:ascii="仿宋_GB2312" w:hAnsi="仿宋_GB2312" w:eastAsia="仿宋_GB2312" w:cs="仿宋_GB2312"/>
                <w:i w:val="0"/>
                <w:iCs w:val="0"/>
                <w:kern w:val="2"/>
                <w:sz w:val="21"/>
                <w:szCs w:val="21"/>
                <w:u w:val="none"/>
                <w:lang w:val="en-US" w:eastAsia="zh-CN" w:bidi="ar"/>
              </w:rPr>
              <w:t>基础设施条件：南临536乡道，西至海天大道。片区周边配备有泰和卫生站、白梅体育中心，周边规划建设有文化活动室和体育健身场所等设施等公共服务设施。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7" w:hRule="atLeast"/>
          <w:jc w:val="center"/>
        </w:trPr>
        <w:tc>
          <w:tcPr>
            <w:tcW w:w="361"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08</w:t>
            </w:r>
          </w:p>
        </w:tc>
        <w:tc>
          <w:tcPr>
            <w:tcW w:w="560"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文明路西片区</w:t>
            </w:r>
          </w:p>
        </w:tc>
        <w:tc>
          <w:tcPr>
            <w:tcW w:w="504"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荷城街道长安社区</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0.7389</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0.9852</w:t>
            </w:r>
          </w:p>
        </w:tc>
        <w:tc>
          <w:tcPr>
            <w:tcW w:w="2570" w:type="pct"/>
            <w:shd w:val="clear" w:color="auto" w:fill="auto"/>
            <w:vAlign w:val="center"/>
          </w:tcPr>
          <w:p>
            <w:pPr>
              <w:keepNext w:val="0"/>
              <w:keepLines w:val="0"/>
              <w:widowControl/>
              <w:suppressLineNumbers w:val="0"/>
              <w:spacing w:line="240" w:lineRule="auto"/>
              <w:ind w:firstLine="0" w:firstLineChars="0"/>
              <w:jc w:val="left"/>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现状土地利用情况：建设用地面积0.9852公顷。</w:t>
            </w:r>
            <w:r>
              <w:rPr>
                <w:rFonts w:hint="eastAsia" w:ascii="仿宋_GB2312" w:hAnsi="仿宋_GB2312" w:eastAsia="仿宋_GB2312" w:cs="仿宋_GB2312"/>
                <w:i w:val="0"/>
                <w:iCs w:val="0"/>
                <w:kern w:val="2"/>
                <w:sz w:val="21"/>
                <w:szCs w:val="21"/>
                <w:u w:val="none"/>
                <w:lang w:val="en-US" w:eastAsia="zh-CN" w:bidi="ar"/>
              </w:rPr>
              <w:br w:type="textWrapping"/>
            </w:r>
            <w:r>
              <w:rPr>
                <w:rFonts w:hint="eastAsia" w:ascii="仿宋_GB2312" w:hAnsi="仿宋_GB2312" w:eastAsia="仿宋_GB2312" w:cs="仿宋_GB2312"/>
                <w:i w:val="0"/>
                <w:iCs w:val="0"/>
                <w:kern w:val="2"/>
                <w:sz w:val="21"/>
                <w:szCs w:val="21"/>
                <w:u w:val="none"/>
                <w:lang w:val="en-US" w:eastAsia="zh-CN" w:bidi="ar"/>
              </w:rPr>
              <w:t>基础设施条件：北临先河路，南至跃华路，东至文明路，西临荷香路。片区周边配备有高明区人民医院、高明区慢性病防治站、荷城敬老院、高明区社会福利院、星光幼儿园、荷城街道第三小学和荷城中心等公共服务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7" w:hRule="atLeast"/>
          <w:jc w:val="center"/>
        </w:trPr>
        <w:tc>
          <w:tcPr>
            <w:tcW w:w="361"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09</w:t>
            </w:r>
          </w:p>
        </w:tc>
        <w:tc>
          <w:tcPr>
            <w:tcW w:w="560"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七星岗公园西片区</w:t>
            </w:r>
          </w:p>
        </w:tc>
        <w:tc>
          <w:tcPr>
            <w:tcW w:w="504"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荷城街道安泰社区、金华社区</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0.1760</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0.2301</w:t>
            </w:r>
          </w:p>
        </w:tc>
        <w:tc>
          <w:tcPr>
            <w:tcW w:w="2570" w:type="pct"/>
            <w:shd w:val="clear" w:color="auto" w:fill="auto"/>
            <w:vAlign w:val="center"/>
          </w:tcPr>
          <w:p>
            <w:pPr>
              <w:keepNext w:val="0"/>
              <w:keepLines w:val="0"/>
              <w:widowControl/>
              <w:suppressLineNumbers w:val="0"/>
              <w:spacing w:line="240" w:lineRule="auto"/>
              <w:ind w:firstLine="0" w:firstLineChars="0"/>
              <w:jc w:val="left"/>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现状土地利用情况：农用地面积0.1777公顷；建设用地面积0.0524公顷。</w:t>
            </w:r>
            <w:r>
              <w:rPr>
                <w:rFonts w:hint="eastAsia" w:ascii="仿宋_GB2312" w:hAnsi="仿宋_GB2312" w:eastAsia="仿宋_GB2312" w:cs="仿宋_GB2312"/>
                <w:i w:val="0"/>
                <w:iCs w:val="0"/>
                <w:kern w:val="2"/>
                <w:sz w:val="21"/>
                <w:szCs w:val="21"/>
                <w:u w:val="none"/>
                <w:lang w:val="en-US" w:eastAsia="zh-CN" w:bidi="ar"/>
              </w:rPr>
              <w:br w:type="textWrapping"/>
            </w:r>
            <w:r>
              <w:rPr>
                <w:rFonts w:hint="eastAsia" w:ascii="仿宋_GB2312" w:hAnsi="仿宋_GB2312" w:eastAsia="仿宋_GB2312" w:cs="仿宋_GB2312"/>
                <w:i w:val="0"/>
                <w:iCs w:val="0"/>
                <w:kern w:val="2"/>
                <w:sz w:val="21"/>
                <w:szCs w:val="21"/>
                <w:u w:val="none"/>
                <w:lang w:val="en-US" w:eastAsia="zh-CN" w:bidi="ar"/>
              </w:rPr>
              <w:t>基础设施条件：北临荷富路，南临高明大道，东临中山路。片区周边配备有沧江中心附属小学、沛明实验小学、文苑幼儿园、玉泉社区卫生服务站、高明区博物馆等公共服务设施。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7" w:hRule="atLeast"/>
          <w:jc w:val="center"/>
        </w:trPr>
        <w:tc>
          <w:tcPr>
            <w:tcW w:w="361"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10</w:t>
            </w:r>
          </w:p>
        </w:tc>
        <w:tc>
          <w:tcPr>
            <w:tcW w:w="560"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大德北路东片区</w:t>
            </w:r>
          </w:p>
        </w:tc>
        <w:tc>
          <w:tcPr>
            <w:tcW w:w="504"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荷城街道上秀丽村</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19.0271</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23.3620</w:t>
            </w:r>
          </w:p>
        </w:tc>
        <w:tc>
          <w:tcPr>
            <w:tcW w:w="2570" w:type="pct"/>
            <w:shd w:val="clear" w:color="auto" w:fill="auto"/>
            <w:vAlign w:val="center"/>
          </w:tcPr>
          <w:p>
            <w:pPr>
              <w:keepNext w:val="0"/>
              <w:keepLines w:val="0"/>
              <w:widowControl/>
              <w:suppressLineNumbers w:val="0"/>
              <w:spacing w:line="240" w:lineRule="auto"/>
              <w:ind w:firstLine="0" w:firstLineChars="0"/>
              <w:jc w:val="left"/>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现状土地利用情况：农用地面积22.5704公顷；建设用地面积0.5869公顷；未利用地面积0.2047公顷。</w:t>
            </w:r>
            <w:r>
              <w:rPr>
                <w:rFonts w:hint="eastAsia" w:ascii="仿宋_GB2312" w:hAnsi="仿宋_GB2312" w:eastAsia="仿宋_GB2312" w:cs="仿宋_GB2312"/>
                <w:i w:val="0"/>
                <w:iCs w:val="0"/>
                <w:kern w:val="2"/>
                <w:sz w:val="21"/>
                <w:szCs w:val="21"/>
                <w:u w:val="none"/>
                <w:lang w:val="en-US" w:eastAsia="zh-CN" w:bidi="ar"/>
              </w:rPr>
              <w:br w:type="textWrapping"/>
            </w:r>
            <w:r>
              <w:rPr>
                <w:rFonts w:hint="eastAsia" w:ascii="仿宋_GB2312" w:hAnsi="仿宋_GB2312" w:eastAsia="仿宋_GB2312" w:cs="仿宋_GB2312"/>
                <w:i w:val="0"/>
                <w:iCs w:val="0"/>
                <w:kern w:val="2"/>
                <w:sz w:val="21"/>
                <w:szCs w:val="21"/>
                <w:u w:val="none"/>
                <w:lang w:val="en-US" w:eastAsia="zh-CN" w:bidi="ar"/>
              </w:rPr>
              <w:t>基础设施条件：西临大德北路，东临汇智路。周边配套有社会停车场、邻里中心、公厕、垃圾收集站、老年人活动中心等公用配套设施，公用设施程度较高。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7" w:hRule="atLeast"/>
          <w:jc w:val="center"/>
        </w:trPr>
        <w:tc>
          <w:tcPr>
            <w:tcW w:w="361"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11</w:t>
            </w:r>
          </w:p>
        </w:tc>
        <w:tc>
          <w:tcPr>
            <w:tcW w:w="560"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汇智路片区</w:t>
            </w:r>
          </w:p>
        </w:tc>
        <w:tc>
          <w:tcPr>
            <w:tcW w:w="504"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荷城街道上秀丽村</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4.0317</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5.3391</w:t>
            </w:r>
          </w:p>
        </w:tc>
        <w:tc>
          <w:tcPr>
            <w:tcW w:w="2570" w:type="pct"/>
            <w:shd w:val="clear" w:color="auto" w:fill="auto"/>
            <w:vAlign w:val="center"/>
          </w:tcPr>
          <w:p>
            <w:pPr>
              <w:keepNext w:val="0"/>
              <w:keepLines w:val="0"/>
              <w:widowControl/>
              <w:suppressLineNumbers w:val="0"/>
              <w:spacing w:line="240" w:lineRule="auto"/>
              <w:ind w:firstLine="0" w:firstLineChars="0"/>
              <w:jc w:val="left"/>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现状土地利用情况：农用地面积5.2295公顷；建设用地面积0.1096公顷。</w:t>
            </w:r>
            <w:r>
              <w:rPr>
                <w:rFonts w:hint="eastAsia" w:ascii="仿宋_GB2312" w:hAnsi="仿宋_GB2312" w:eastAsia="仿宋_GB2312" w:cs="仿宋_GB2312"/>
                <w:i w:val="0"/>
                <w:iCs w:val="0"/>
                <w:kern w:val="2"/>
                <w:sz w:val="21"/>
                <w:szCs w:val="21"/>
                <w:u w:val="none"/>
                <w:lang w:val="en-US" w:eastAsia="zh-CN" w:bidi="ar"/>
              </w:rPr>
              <w:br w:type="textWrapping"/>
            </w:r>
            <w:r>
              <w:rPr>
                <w:rFonts w:hint="eastAsia" w:ascii="仿宋_GB2312" w:hAnsi="仿宋_GB2312" w:eastAsia="仿宋_GB2312" w:cs="仿宋_GB2312"/>
                <w:i w:val="0"/>
                <w:iCs w:val="0"/>
                <w:kern w:val="2"/>
                <w:sz w:val="21"/>
                <w:szCs w:val="21"/>
                <w:u w:val="none"/>
                <w:lang w:val="en-US" w:eastAsia="zh-CN" w:bidi="ar"/>
              </w:rPr>
              <w:t>基础设施条件：东临凤凰路，北临汇智路。片区周边配套有社会停车场、中小学、公厕、公交首末站、幼儿园、垃圾收集站、肉菜市场、泰和围郊野公园、老年人活动中心、综合医院、社区居委会、社区卫生服务站等公用配套设施能有效服务片区内的发展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7" w:hRule="atLeast"/>
          <w:jc w:val="center"/>
        </w:trPr>
        <w:tc>
          <w:tcPr>
            <w:tcW w:w="361"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12</w:t>
            </w:r>
          </w:p>
        </w:tc>
        <w:tc>
          <w:tcPr>
            <w:tcW w:w="560"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丽景东路南片区</w:t>
            </w:r>
          </w:p>
        </w:tc>
        <w:tc>
          <w:tcPr>
            <w:tcW w:w="504"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荷城街道罗西村、上秀丽村</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1.7459</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2.9098</w:t>
            </w:r>
          </w:p>
        </w:tc>
        <w:tc>
          <w:tcPr>
            <w:tcW w:w="2570" w:type="pct"/>
            <w:shd w:val="clear" w:color="auto" w:fill="auto"/>
            <w:vAlign w:val="center"/>
          </w:tcPr>
          <w:p>
            <w:pPr>
              <w:keepNext w:val="0"/>
              <w:keepLines w:val="0"/>
              <w:widowControl/>
              <w:suppressLineNumbers w:val="0"/>
              <w:spacing w:line="240" w:lineRule="auto"/>
              <w:ind w:firstLine="0" w:firstLineChars="0"/>
              <w:jc w:val="left"/>
              <w:textAlignment w:val="auto"/>
              <w:rPr>
                <w:rFonts w:hint="eastAsia" w:ascii="仿宋_GB2312" w:hAnsi="仿宋_GB2312" w:eastAsia="仿宋_GB2312" w:cs="仿宋_GB2312"/>
                <w:i w:val="0"/>
                <w:iCs w:val="0"/>
                <w:kern w:val="2"/>
                <w:sz w:val="21"/>
                <w:szCs w:val="21"/>
                <w:u w:val="none"/>
                <w:lang w:val="en-US" w:eastAsia="zh-CN" w:bidi="ar"/>
              </w:rPr>
            </w:pPr>
            <w:r>
              <w:rPr>
                <w:rFonts w:hint="eastAsia" w:ascii="仿宋_GB2312" w:hAnsi="仿宋_GB2312" w:eastAsia="仿宋_GB2312" w:cs="仿宋_GB2312"/>
                <w:i w:val="0"/>
                <w:iCs w:val="0"/>
                <w:kern w:val="2"/>
                <w:sz w:val="21"/>
                <w:szCs w:val="21"/>
                <w:u w:val="none"/>
                <w:lang w:val="en-US" w:eastAsia="zh-CN" w:bidi="ar"/>
              </w:rPr>
              <w:t>现状土地利用情况：农用地面积2.9098公顷。</w:t>
            </w:r>
            <w:r>
              <w:rPr>
                <w:rFonts w:hint="eastAsia" w:ascii="仿宋_GB2312" w:hAnsi="仿宋_GB2312" w:eastAsia="仿宋_GB2312" w:cs="仿宋_GB2312"/>
                <w:i w:val="0"/>
                <w:iCs w:val="0"/>
                <w:kern w:val="2"/>
                <w:sz w:val="21"/>
                <w:szCs w:val="21"/>
                <w:u w:val="none"/>
                <w:lang w:val="en-US" w:eastAsia="zh-CN" w:bidi="ar"/>
              </w:rPr>
              <w:br w:type="textWrapping"/>
            </w:r>
            <w:r>
              <w:rPr>
                <w:rFonts w:hint="eastAsia" w:ascii="仿宋_GB2312" w:hAnsi="仿宋_GB2312" w:eastAsia="仿宋_GB2312" w:cs="仿宋_GB2312"/>
                <w:i w:val="0"/>
                <w:iCs w:val="0"/>
                <w:kern w:val="2"/>
                <w:sz w:val="21"/>
                <w:szCs w:val="21"/>
                <w:u w:val="none"/>
                <w:lang w:val="en-US" w:eastAsia="zh-CN" w:bidi="ar"/>
              </w:rPr>
              <w:t>基础设施条件：北临丽景东路，西临大德北路，东至明湖北路。</w:t>
            </w:r>
          </w:p>
          <w:p>
            <w:pPr>
              <w:keepNext w:val="0"/>
              <w:keepLines w:val="0"/>
              <w:widowControl/>
              <w:suppressLineNumbers w:val="0"/>
              <w:spacing w:line="240" w:lineRule="auto"/>
              <w:ind w:firstLine="0" w:firstLineChars="0"/>
              <w:jc w:val="left"/>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基础设施条件：片区周边配套有社会停车场、小学、初级中学、公厕、公交首末站、综合文化活动中心、垃圾收集站、明湖公园等，配套设施较为齐全，能有效服务于片区内部及周边居住区及村庄建设区的发展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7" w:hRule="atLeast"/>
          <w:jc w:val="center"/>
        </w:trPr>
        <w:tc>
          <w:tcPr>
            <w:tcW w:w="361"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13</w:t>
            </w:r>
          </w:p>
        </w:tc>
        <w:tc>
          <w:tcPr>
            <w:tcW w:w="560"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和辉路南片区</w:t>
            </w:r>
          </w:p>
        </w:tc>
        <w:tc>
          <w:tcPr>
            <w:tcW w:w="504"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荷城街道尼教村、仙村村</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2.3680</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3.2628</w:t>
            </w:r>
          </w:p>
        </w:tc>
        <w:tc>
          <w:tcPr>
            <w:tcW w:w="2570" w:type="pct"/>
            <w:shd w:val="clear" w:color="auto" w:fill="auto"/>
            <w:vAlign w:val="center"/>
          </w:tcPr>
          <w:p>
            <w:pPr>
              <w:keepNext w:val="0"/>
              <w:keepLines w:val="0"/>
              <w:widowControl/>
              <w:suppressLineNumbers w:val="0"/>
              <w:spacing w:line="240" w:lineRule="auto"/>
              <w:ind w:firstLine="0" w:firstLineChars="0"/>
              <w:jc w:val="left"/>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现状土地利用情况：农用地面积2.5519 公顷；建设用地面积0.0260公顷；未利用地面积0.6849公顷。</w:t>
            </w:r>
            <w:r>
              <w:rPr>
                <w:rFonts w:hint="eastAsia" w:ascii="仿宋_GB2312" w:hAnsi="仿宋_GB2312" w:eastAsia="仿宋_GB2312" w:cs="仿宋_GB2312"/>
                <w:i w:val="0"/>
                <w:iCs w:val="0"/>
                <w:kern w:val="2"/>
                <w:sz w:val="21"/>
                <w:szCs w:val="21"/>
                <w:u w:val="none"/>
                <w:lang w:val="en-US" w:eastAsia="zh-CN" w:bidi="ar"/>
              </w:rPr>
              <w:br w:type="textWrapping"/>
            </w:r>
            <w:r>
              <w:rPr>
                <w:rFonts w:hint="eastAsia" w:ascii="仿宋_GB2312" w:hAnsi="仿宋_GB2312" w:eastAsia="仿宋_GB2312" w:cs="仿宋_GB2312"/>
                <w:i w:val="0"/>
                <w:iCs w:val="0"/>
                <w:kern w:val="2"/>
                <w:sz w:val="21"/>
                <w:szCs w:val="21"/>
                <w:u w:val="none"/>
                <w:lang w:val="en-US" w:eastAsia="zh-CN" w:bidi="ar"/>
              </w:rPr>
              <w:t>基础设施条件：北临和辉路，南临三喜路，东临海天大道。片区周边配套有社会停车场、小学、初级中学、公厕、公交首末站、综合文化活动中心、垃圾收集站、明湖公园等，配套设施较为齐全，能有效服务于片区内部及周边居住区及村庄建设区的发展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7" w:hRule="atLeast"/>
          <w:jc w:val="center"/>
        </w:trPr>
        <w:tc>
          <w:tcPr>
            <w:tcW w:w="361"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14</w:t>
            </w:r>
          </w:p>
        </w:tc>
        <w:tc>
          <w:tcPr>
            <w:tcW w:w="560"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三康路北片区</w:t>
            </w:r>
          </w:p>
        </w:tc>
        <w:tc>
          <w:tcPr>
            <w:tcW w:w="504"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荷城街道尼教村</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3.7072</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4.7559</w:t>
            </w:r>
          </w:p>
        </w:tc>
        <w:tc>
          <w:tcPr>
            <w:tcW w:w="2570" w:type="pct"/>
            <w:shd w:val="clear" w:color="auto" w:fill="auto"/>
            <w:vAlign w:val="center"/>
          </w:tcPr>
          <w:p>
            <w:pPr>
              <w:keepNext w:val="0"/>
              <w:keepLines w:val="0"/>
              <w:widowControl/>
              <w:suppressLineNumbers w:val="0"/>
              <w:spacing w:line="240" w:lineRule="auto"/>
              <w:ind w:firstLine="0" w:firstLineChars="0"/>
              <w:jc w:val="left"/>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现状土地利用情况：农用地面积2.8387公顷；建设用地面积0.9730公顷；未利用地面积0.9442公顷。</w:t>
            </w:r>
            <w:r>
              <w:rPr>
                <w:rFonts w:hint="eastAsia" w:ascii="仿宋_GB2312" w:hAnsi="仿宋_GB2312" w:eastAsia="仿宋_GB2312" w:cs="仿宋_GB2312"/>
                <w:i w:val="0"/>
                <w:iCs w:val="0"/>
                <w:kern w:val="2"/>
                <w:sz w:val="21"/>
                <w:szCs w:val="21"/>
                <w:u w:val="none"/>
                <w:lang w:val="en-US" w:eastAsia="zh-CN" w:bidi="ar"/>
              </w:rPr>
              <w:br w:type="textWrapping"/>
            </w:r>
            <w:r>
              <w:rPr>
                <w:rFonts w:hint="eastAsia" w:ascii="仿宋_GB2312" w:hAnsi="仿宋_GB2312" w:eastAsia="仿宋_GB2312" w:cs="仿宋_GB2312"/>
                <w:i w:val="0"/>
                <w:iCs w:val="0"/>
                <w:kern w:val="2"/>
                <w:sz w:val="21"/>
                <w:szCs w:val="21"/>
                <w:u w:val="none"/>
                <w:lang w:val="en-US" w:eastAsia="zh-CN" w:bidi="ar"/>
              </w:rPr>
              <w:t>基础设施条件：西至海天大道。片区周边配套杨和公园、公交停靠站等，公用设施覆盖率较高。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361"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15</w:t>
            </w:r>
          </w:p>
        </w:tc>
        <w:tc>
          <w:tcPr>
            <w:tcW w:w="560"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杨西大道北一片区</w:t>
            </w:r>
          </w:p>
        </w:tc>
        <w:tc>
          <w:tcPr>
            <w:tcW w:w="504"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杨和镇豸岗村、圆岗村、岗水村</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11.5490</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17.6059</w:t>
            </w:r>
          </w:p>
        </w:tc>
        <w:tc>
          <w:tcPr>
            <w:tcW w:w="2570" w:type="pct"/>
            <w:shd w:val="clear" w:color="auto" w:fill="auto"/>
            <w:vAlign w:val="center"/>
          </w:tcPr>
          <w:p>
            <w:pPr>
              <w:keepNext w:val="0"/>
              <w:keepLines w:val="0"/>
              <w:widowControl/>
              <w:suppressLineNumbers w:val="0"/>
              <w:spacing w:line="240" w:lineRule="auto"/>
              <w:ind w:firstLine="0" w:firstLineChars="0"/>
              <w:jc w:val="left"/>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现状土地利用情况：农用地面积16.4884公顷；建设用地面积0.2441公顷；未利用地面积0.8734公顷。</w:t>
            </w:r>
            <w:r>
              <w:rPr>
                <w:rFonts w:hint="eastAsia" w:ascii="仿宋_GB2312" w:hAnsi="仿宋_GB2312" w:eastAsia="仿宋_GB2312" w:cs="仿宋_GB2312"/>
                <w:i w:val="0"/>
                <w:iCs w:val="0"/>
                <w:kern w:val="2"/>
                <w:sz w:val="21"/>
                <w:szCs w:val="21"/>
                <w:u w:val="none"/>
                <w:lang w:val="en-US" w:eastAsia="zh-CN" w:bidi="ar"/>
              </w:rPr>
              <w:br w:type="textWrapping"/>
            </w:r>
            <w:r>
              <w:rPr>
                <w:rFonts w:hint="eastAsia" w:ascii="仿宋_GB2312" w:hAnsi="仿宋_GB2312" w:eastAsia="仿宋_GB2312" w:cs="仿宋_GB2312"/>
                <w:i w:val="0"/>
                <w:iCs w:val="0"/>
                <w:kern w:val="2"/>
                <w:sz w:val="21"/>
                <w:szCs w:val="21"/>
                <w:u w:val="none"/>
                <w:lang w:val="en-US" w:eastAsia="zh-CN" w:bidi="ar"/>
              </w:rPr>
              <w:t>基础设施条件：西临西江大道，南临杨西大道，北临和悦北路。周边配套杨和广场公园、公交停靠站、警企联防点、小明星幼儿园等，公用设施覆盖率较高。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7" w:hRule="atLeast"/>
          <w:jc w:val="center"/>
        </w:trPr>
        <w:tc>
          <w:tcPr>
            <w:tcW w:w="361"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16</w:t>
            </w:r>
          </w:p>
        </w:tc>
        <w:tc>
          <w:tcPr>
            <w:tcW w:w="560"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杨西大道北二片区</w:t>
            </w:r>
          </w:p>
        </w:tc>
        <w:tc>
          <w:tcPr>
            <w:tcW w:w="504"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杨和镇豸岗村、圆岗村、岗水村</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17.9775</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29.9616</w:t>
            </w:r>
          </w:p>
        </w:tc>
        <w:tc>
          <w:tcPr>
            <w:tcW w:w="2570" w:type="pct"/>
            <w:shd w:val="clear" w:color="auto" w:fill="auto"/>
            <w:vAlign w:val="center"/>
          </w:tcPr>
          <w:p>
            <w:pPr>
              <w:keepNext w:val="0"/>
              <w:keepLines w:val="0"/>
              <w:widowControl/>
              <w:suppressLineNumbers w:val="0"/>
              <w:spacing w:line="240" w:lineRule="auto"/>
              <w:ind w:firstLine="0" w:firstLineChars="0"/>
              <w:jc w:val="left"/>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现状土地利用情况：农用地面积19.4094公顷；建设用地面积9.6181公顷；未利用地面积0.9341公顷。</w:t>
            </w:r>
            <w:r>
              <w:rPr>
                <w:rFonts w:hint="eastAsia" w:ascii="仿宋_GB2312" w:hAnsi="仿宋_GB2312" w:eastAsia="仿宋_GB2312" w:cs="仿宋_GB2312"/>
                <w:i w:val="0"/>
                <w:iCs w:val="0"/>
                <w:kern w:val="2"/>
                <w:sz w:val="21"/>
                <w:szCs w:val="21"/>
                <w:u w:val="none"/>
                <w:lang w:val="en-US" w:eastAsia="zh-CN" w:bidi="ar"/>
              </w:rPr>
              <w:br w:type="textWrapping"/>
            </w:r>
            <w:r>
              <w:rPr>
                <w:rFonts w:hint="eastAsia" w:ascii="仿宋_GB2312" w:hAnsi="仿宋_GB2312" w:eastAsia="仿宋_GB2312" w:cs="仿宋_GB2312"/>
                <w:i w:val="0"/>
                <w:iCs w:val="0"/>
                <w:kern w:val="2"/>
                <w:sz w:val="21"/>
                <w:szCs w:val="21"/>
                <w:u w:val="none"/>
                <w:lang w:val="en-US" w:eastAsia="zh-CN" w:bidi="ar"/>
              </w:rPr>
              <w:t>基础设施条件：南临杨西大道，东临纵五路，北临西江大道。片区周边配备杨和公园、加油加气站、公交停靠站、豸岗村党群服务站等公用配套设施，基础设施完善。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7" w:hRule="atLeast"/>
          <w:jc w:val="center"/>
        </w:trPr>
        <w:tc>
          <w:tcPr>
            <w:tcW w:w="361"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17</w:t>
            </w:r>
          </w:p>
        </w:tc>
        <w:tc>
          <w:tcPr>
            <w:tcW w:w="560"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三和路南片区</w:t>
            </w:r>
          </w:p>
        </w:tc>
        <w:tc>
          <w:tcPr>
            <w:tcW w:w="504"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杨和镇圆岗村</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3.3828</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5.6380</w:t>
            </w:r>
          </w:p>
        </w:tc>
        <w:tc>
          <w:tcPr>
            <w:tcW w:w="2570" w:type="pct"/>
            <w:shd w:val="clear" w:color="auto" w:fill="auto"/>
            <w:vAlign w:val="center"/>
          </w:tcPr>
          <w:p>
            <w:pPr>
              <w:keepNext w:val="0"/>
              <w:keepLines w:val="0"/>
              <w:widowControl/>
              <w:suppressLineNumbers w:val="0"/>
              <w:spacing w:line="240" w:lineRule="auto"/>
              <w:ind w:firstLine="0" w:firstLineChars="0"/>
              <w:jc w:val="left"/>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现状土地利用情况：建设用地面积5.6380公顷。</w:t>
            </w:r>
            <w:r>
              <w:rPr>
                <w:rFonts w:hint="eastAsia" w:ascii="仿宋_GB2312" w:hAnsi="仿宋_GB2312" w:eastAsia="仿宋_GB2312" w:cs="仿宋_GB2312"/>
                <w:i w:val="0"/>
                <w:iCs w:val="0"/>
                <w:kern w:val="2"/>
                <w:sz w:val="21"/>
                <w:szCs w:val="21"/>
                <w:u w:val="none"/>
                <w:lang w:val="en-US" w:eastAsia="zh-CN" w:bidi="ar"/>
              </w:rPr>
              <w:br w:type="textWrapping"/>
            </w:r>
            <w:r>
              <w:rPr>
                <w:rFonts w:hint="eastAsia" w:ascii="仿宋_GB2312" w:hAnsi="仿宋_GB2312" w:eastAsia="仿宋_GB2312" w:cs="仿宋_GB2312"/>
                <w:i w:val="0"/>
                <w:iCs w:val="0"/>
                <w:kern w:val="2"/>
                <w:sz w:val="21"/>
                <w:szCs w:val="21"/>
                <w:u w:val="none"/>
                <w:lang w:val="en-US" w:eastAsia="zh-CN" w:bidi="ar"/>
              </w:rPr>
              <w:t>基础设施条件：北至三和路，南至和丽路，西临和泰路，东临和意路。片区周边配备杨和广场公园、杨和镇政府、杨和镇中心小学、通信基站、杨和客运站、圆岗卫生站、圆岗文化室、广东电网充电站、市场等公服设施，公共服务设施覆盖率较好，能有效服务片区及周边区域商业区、居住区及工业区的发展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7" w:hRule="atLeast"/>
          <w:jc w:val="center"/>
        </w:trPr>
        <w:tc>
          <w:tcPr>
            <w:tcW w:w="361"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lang w:val="en-US"/>
              </w:rPr>
            </w:pPr>
            <w:r>
              <w:rPr>
                <w:rFonts w:hint="eastAsia" w:ascii="仿宋_GB2312" w:hAnsi="仿宋_GB2312" w:eastAsia="仿宋_GB2312" w:cs="仿宋_GB2312"/>
                <w:i w:val="0"/>
                <w:iCs w:val="0"/>
                <w:kern w:val="2"/>
                <w:sz w:val="21"/>
                <w:szCs w:val="21"/>
                <w:u w:val="none"/>
                <w:lang w:val="en-US" w:eastAsia="zh-CN" w:bidi="ar"/>
              </w:rPr>
              <w:t>18</w:t>
            </w:r>
          </w:p>
        </w:tc>
        <w:tc>
          <w:tcPr>
            <w:tcW w:w="560"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明七路南片区</w:t>
            </w:r>
          </w:p>
        </w:tc>
        <w:tc>
          <w:tcPr>
            <w:tcW w:w="504"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杨和镇对川村</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0.5144</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0.6351</w:t>
            </w:r>
          </w:p>
        </w:tc>
        <w:tc>
          <w:tcPr>
            <w:tcW w:w="2570" w:type="pct"/>
            <w:shd w:val="clear" w:color="auto" w:fill="auto"/>
            <w:vAlign w:val="center"/>
          </w:tcPr>
          <w:p>
            <w:pPr>
              <w:keepNext w:val="0"/>
              <w:keepLines w:val="0"/>
              <w:widowControl/>
              <w:suppressLineNumbers w:val="0"/>
              <w:spacing w:line="240" w:lineRule="auto"/>
              <w:ind w:firstLine="0" w:firstLineChars="0"/>
              <w:jc w:val="left"/>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现状土地利用情况：农用地面积0.2647公顷；建设用地面积0.3704公顷。</w:t>
            </w:r>
            <w:r>
              <w:rPr>
                <w:rFonts w:hint="eastAsia" w:ascii="仿宋_GB2312" w:hAnsi="仿宋_GB2312" w:eastAsia="仿宋_GB2312" w:cs="仿宋_GB2312"/>
                <w:i w:val="0"/>
                <w:iCs w:val="0"/>
                <w:kern w:val="2"/>
                <w:sz w:val="21"/>
                <w:szCs w:val="21"/>
                <w:u w:val="none"/>
                <w:lang w:val="en-US" w:eastAsia="zh-CN" w:bidi="ar"/>
              </w:rPr>
              <w:br w:type="textWrapping"/>
            </w:r>
            <w:r>
              <w:rPr>
                <w:rFonts w:hint="eastAsia" w:ascii="仿宋_GB2312" w:hAnsi="仿宋_GB2312" w:eastAsia="仿宋_GB2312" w:cs="仿宋_GB2312"/>
                <w:i w:val="0"/>
                <w:iCs w:val="0"/>
                <w:kern w:val="2"/>
                <w:sz w:val="21"/>
                <w:szCs w:val="21"/>
                <w:u w:val="none"/>
                <w:lang w:val="en-US" w:eastAsia="zh-CN" w:bidi="ar"/>
              </w:rPr>
              <w:t>基础设施条件：北临明七路，南临和彩路，东临合和大道。周边配备鹿鸣湖公园、加油加气站、公交停靠站、交通局地方公路养护中心、垃圾收集站等公服设施能有效服务片区内的发展建设。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7" w:hRule="atLeast"/>
          <w:jc w:val="center"/>
        </w:trPr>
        <w:tc>
          <w:tcPr>
            <w:tcW w:w="361"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lang w:val="en-US"/>
              </w:rPr>
            </w:pPr>
            <w:r>
              <w:rPr>
                <w:rFonts w:hint="eastAsia" w:ascii="仿宋_GB2312" w:hAnsi="仿宋_GB2312" w:eastAsia="仿宋_GB2312" w:cs="仿宋_GB2312"/>
                <w:i w:val="0"/>
                <w:iCs w:val="0"/>
                <w:kern w:val="2"/>
                <w:sz w:val="21"/>
                <w:szCs w:val="21"/>
                <w:u w:val="none"/>
                <w:lang w:val="en-US" w:eastAsia="zh-CN" w:bidi="ar"/>
              </w:rPr>
              <w:t>19</w:t>
            </w:r>
          </w:p>
        </w:tc>
        <w:tc>
          <w:tcPr>
            <w:tcW w:w="560"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对川工业大道北片区</w:t>
            </w:r>
          </w:p>
        </w:tc>
        <w:tc>
          <w:tcPr>
            <w:tcW w:w="504"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杨和镇对川村</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4.0922</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6.8203</w:t>
            </w:r>
          </w:p>
        </w:tc>
        <w:tc>
          <w:tcPr>
            <w:tcW w:w="2570" w:type="pct"/>
            <w:shd w:val="clear" w:color="auto" w:fill="auto"/>
            <w:vAlign w:val="center"/>
          </w:tcPr>
          <w:p>
            <w:pPr>
              <w:keepNext w:val="0"/>
              <w:keepLines w:val="0"/>
              <w:widowControl/>
              <w:suppressLineNumbers w:val="0"/>
              <w:spacing w:line="240" w:lineRule="auto"/>
              <w:ind w:firstLine="0" w:firstLineChars="0"/>
              <w:jc w:val="left"/>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现状土地利用情况：农用地面积5.1472公顷；建设用地面积0.9088公顷；未利用地面积0.7643公顷。</w:t>
            </w:r>
            <w:r>
              <w:rPr>
                <w:rFonts w:hint="eastAsia" w:ascii="仿宋_GB2312" w:hAnsi="仿宋_GB2312" w:eastAsia="仿宋_GB2312" w:cs="仿宋_GB2312"/>
                <w:i w:val="0"/>
                <w:iCs w:val="0"/>
                <w:kern w:val="2"/>
                <w:sz w:val="21"/>
                <w:szCs w:val="21"/>
                <w:u w:val="none"/>
                <w:lang w:val="en-US" w:eastAsia="zh-CN" w:bidi="ar"/>
              </w:rPr>
              <w:br w:type="textWrapping"/>
            </w:r>
            <w:r>
              <w:rPr>
                <w:rFonts w:hint="eastAsia" w:ascii="仿宋_GB2312" w:hAnsi="仿宋_GB2312" w:eastAsia="仿宋_GB2312" w:cs="仿宋_GB2312"/>
                <w:i w:val="0"/>
                <w:iCs w:val="0"/>
                <w:kern w:val="2"/>
                <w:sz w:val="21"/>
                <w:szCs w:val="21"/>
                <w:u w:val="none"/>
                <w:lang w:val="en-US" w:eastAsia="zh-CN" w:bidi="ar"/>
              </w:rPr>
              <w:t>基础设施条件：北临高明大道，南临对川工业大道，西临合和大道。片区周边配套鹿鸣湖公园、公交停靠站、通信基站、加油加气站、中国邮政银行和农商银行等公服设施，基础设施较为完善。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7" w:hRule="atLeast"/>
          <w:jc w:val="center"/>
        </w:trPr>
        <w:tc>
          <w:tcPr>
            <w:tcW w:w="361"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20</w:t>
            </w:r>
          </w:p>
        </w:tc>
        <w:tc>
          <w:tcPr>
            <w:tcW w:w="560"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杨西大道西片区</w:t>
            </w:r>
          </w:p>
        </w:tc>
        <w:tc>
          <w:tcPr>
            <w:tcW w:w="504"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杨和镇清泰村</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1.9716</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3.2860</w:t>
            </w:r>
          </w:p>
        </w:tc>
        <w:tc>
          <w:tcPr>
            <w:tcW w:w="2570" w:type="pct"/>
            <w:shd w:val="clear" w:color="auto" w:fill="auto"/>
            <w:vAlign w:val="center"/>
          </w:tcPr>
          <w:p>
            <w:pPr>
              <w:keepNext w:val="0"/>
              <w:keepLines w:val="0"/>
              <w:widowControl/>
              <w:suppressLineNumbers w:val="0"/>
              <w:spacing w:line="240" w:lineRule="auto"/>
              <w:ind w:firstLine="0" w:firstLineChars="0"/>
              <w:jc w:val="left"/>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现状土地利用情况：农用地面积1.1912公顷；建设用地面积1.3172公顷；未利用地面积0.7776公顷。</w:t>
            </w:r>
            <w:r>
              <w:rPr>
                <w:rFonts w:hint="eastAsia" w:ascii="仿宋_GB2312" w:hAnsi="仿宋_GB2312" w:eastAsia="仿宋_GB2312" w:cs="仿宋_GB2312"/>
                <w:i w:val="0"/>
                <w:iCs w:val="0"/>
                <w:kern w:val="2"/>
                <w:sz w:val="21"/>
                <w:szCs w:val="21"/>
                <w:u w:val="none"/>
                <w:lang w:val="en-US" w:eastAsia="zh-CN" w:bidi="ar"/>
              </w:rPr>
              <w:br w:type="textWrapping"/>
            </w:r>
            <w:r>
              <w:rPr>
                <w:rFonts w:hint="eastAsia" w:ascii="仿宋_GB2312" w:hAnsi="仿宋_GB2312" w:eastAsia="仿宋_GB2312" w:cs="仿宋_GB2312"/>
                <w:i w:val="0"/>
                <w:iCs w:val="0"/>
                <w:kern w:val="2"/>
                <w:sz w:val="21"/>
                <w:szCs w:val="21"/>
                <w:u w:val="none"/>
                <w:lang w:val="en-US" w:eastAsia="zh-CN" w:bidi="ar"/>
              </w:rPr>
              <w:t>基础设施条件：东临杨西大道南。片区周边配备兴良公园、加油加气站、公交停靠站等公服设施，公用设施覆盖率较高。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7" w:hRule="atLeast"/>
          <w:jc w:val="center"/>
        </w:trPr>
        <w:tc>
          <w:tcPr>
            <w:tcW w:w="361"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21</w:t>
            </w:r>
          </w:p>
        </w:tc>
        <w:tc>
          <w:tcPr>
            <w:tcW w:w="560"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横二路南片区</w:t>
            </w:r>
          </w:p>
        </w:tc>
        <w:tc>
          <w:tcPr>
            <w:tcW w:w="504"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杨和镇河西社区、清泰村</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15.8658</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26.4309</w:t>
            </w:r>
          </w:p>
        </w:tc>
        <w:tc>
          <w:tcPr>
            <w:tcW w:w="2570" w:type="pct"/>
            <w:shd w:val="clear" w:color="auto" w:fill="auto"/>
            <w:vAlign w:val="center"/>
          </w:tcPr>
          <w:p>
            <w:pPr>
              <w:keepNext w:val="0"/>
              <w:keepLines w:val="0"/>
              <w:widowControl/>
              <w:suppressLineNumbers w:val="0"/>
              <w:spacing w:line="240" w:lineRule="auto"/>
              <w:ind w:firstLine="0" w:firstLineChars="0"/>
              <w:jc w:val="left"/>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现状土地利用情况：农用地面积13.1840公顷；建设用地面积6.6985公顷；未利用地面积6.5484公顷。</w:t>
            </w:r>
            <w:r>
              <w:rPr>
                <w:rFonts w:hint="eastAsia" w:ascii="仿宋_GB2312" w:hAnsi="仿宋_GB2312" w:eastAsia="仿宋_GB2312" w:cs="仿宋_GB2312"/>
                <w:i w:val="0"/>
                <w:iCs w:val="0"/>
                <w:kern w:val="2"/>
                <w:sz w:val="21"/>
                <w:szCs w:val="21"/>
                <w:u w:val="none"/>
                <w:lang w:val="en-US" w:eastAsia="zh-CN" w:bidi="ar"/>
              </w:rPr>
              <w:br w:type="textWrapping"/>
            </w:r>
            <w:r>
              <w:rPr>
                <w:rFonts w:hint="eastAsia" w:ascii="仿宋_GB2312" w:hAnsi="仿宋_GB2312" w:eastAsia="仿宋_GB2312" w:cs="仿宋_GB2312"/>
                <w:i w:val="0"/>
                <w:iCs w:val="0"/>
                <w:kern w:val="2"/>
                <w:sz w:val="21"/>
                <w:szCs w:val="21"/>
                <w:u w:val="none"/>
                <w:lang w:val="en-US" w:eastAsia="zh-CN" w:bidi="ar"/>
              </w:rPr>
              <w:t>基础设施条件：北临横二路，南临横四路，西临杨西大道，东临河二路。片区周边配备杨梅公园、医院、加油加气站、公交停靠站等公服设施，公用设施程度较高。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7" w:hRule="atLeast"/>
          <w:jc w:val="center"/>
        </w:trPr>
        <w:tc>
          <w:tcPr>
            <w:tcW w:w="361"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22</w:t>
            </w:r>
          </w:p>
        </w:tc>
        <w:tc>
          <w:tcPr>
            <w:tcW w:w="560"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石竹路北片区</w:t>
            </w:r>
          </w:p>
        </w:tc>
        <w:tc>
          <w:tcPr>
            <w:tcW w:w="504"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杨和镇河东社区</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3.2428</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4.8720</w:t>
            </w:r>
          </w:p>
        </w:tc>
        <w:tc>
          <w:tcPr>
            <w:tcW w:w="2570" w:type="pct"/>
            <w:shd w:val="clear" w:color="auto" w:fill="auto"/>
            <w:vAlign w:val="center"/>
          </w:tcPr>
          <w:p>
            <w:pPr>
              <w:keepNext w:val="0"/>
              <w:keepLines w:val="0"/>
              <w:widowControl/>
              <w:suppressLineNumbers w:val="0"/>
              <w:spacing w:line="240" w:lineRule="auto"/>
              <w:ind w:firstLine="0" w:firstLineChars="0"/>
              <w:jc w:val="left"/>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现状土地利用情况：农用地面积2.2344公顷；建设用地面积1.5235公顷；未利用地面积1.1141公顷。</w:t>
            </w:r>
            <w:r>
              <w:rPr>
                <w:rFonts w:hint="eastAsia" w:ascii="仿宋_GB2312" w:hAnsi="仿宋_GB2312" w:eastAsia="仿宋_GB2312" w:cs="仿宋_GB2312"/>
                <w:i w:val="0"/>
                <w:iCs w:val="0"/>
                <w:kern w:val="2"/>
                <w:sz w:val="21"/>
                <w:szCs w:val="21"/>
                <w:u w:val="none"/>
                <w:lang w:val="en-US" w:eastAsia="zh-CN" w:bidi="ar"/>
              </w:rPr>
              <w:br w:type="textWrapping"/>
            </w:r>
            <w:r>
              <w:rPr>
                <w:rFonts w:hint="eastAsia" w:ascii="仿宋_GB2312" w:hAnsi="仿宋_GB2312" w:eastAsia="仿宋_GB2312" w:cs="仿宋_GB2312"/>
                <w:i w:val="0"/>
                <w:iCs w:val="0"/>
                <w:kern w:val="2"/>
                <w:sz w:val="21"/>
                <w:szCs w:val="21"/>
                <w:u w:val="none"/>
                <w:lang w:val="en-US" w:eastAsia="zh-CN" w:bidi="ar"/>
              </w:rPr>
              <w:t>基础设施条件：北临迎春路，南临石竹路，西至河东路。片区周边配套杨和中心幼儿园、杨梅公园、加油加气站、医院、停车场、通信基站等公服设施，配套设施较为齐全，能有效服务于片区内部及周边居住区及村庄建设区的发展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7" w:hRule="atLeast"/>
          <w:jc w:val="center"/>
        </w:trPr>
        <w:tc>
          <w:tcPr>
            <w:tcW w:w="361"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23</w:t>
            </w:r>
          </w:p>
        </w:tc>
        <w:tc>
          <w:tcPr>
            <w:tcW w:w="560"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九江酒厂片区</w:t>
            </w:r>
          </w:p>
        </w:tc>
        <w:tc>
          <w:tcPr>
            <w:tcW w:w="504"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杨和镇河西社区、沙水村、石水村</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23.5571</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39.2620</w:t>
            </w:r>
          </w:p>
        </w:tc>
        <w:tc>
          <w:tcPr>
            <w:tcW w:w="2570" w:type="pct"/>
            <w:shd w:val="clear" w:color="auto" w:fill="auto"/>
            <w:vAlign w:val="center"/>
          </w:tcPr>
          <w:p>
            <w:pPr>
              <w:keepNext w:val="0"/>
              <w:keepLines w:val="0"/>
              <w:widowControl/>
              <w:suppressLineNumbers w:val="0"/>
              <w:spacing w:line="240" w:lineRule="auto"/>
              <w:ind w:firstLine="0" w:firstLineChars="0"/>
              <w:jc w:val="left"/>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现状土地利用情况：农用地面积29.5109公顷；建设用地面积8.2191公顷；未利用地面积1.5320公顷。</w:t>
            </w:r>
            <w:r>
              <w:rPr>
                <w:rFonts w:hint="eastAsia" w:ascii="仿宋_GB2312" w:hAnsi="仿宋_GB2312" w:eastAsia="仿宋_GB2312" w:cs="仿宋_GB2312"/>
                <w:i w:val="0"/>
                <w:iCs w:val="0"/>
                <w:kern w:val="2"/>
                <w:sz w:val="21"/>
                <w:szCs w:val="21"/>
                <w:u w:val="none"/>
                <w:lang w:val="en-US" w:eastAsia="zh-CN" w:bidi="ar"/>
              </w:rPr>
              <w:br w:type="textWrapping"/>
            </w:r>
            <w:r>
              <w:rPr>
                <w:rFonts w:hint="eastAsia" w:ascii="仿宋_GB2312" w:hAnsi="仿宋_GB2312" w:eastAsia="仿宋_GB2312" w:cs="仿宋_GB2312"/>
                <w:i w:val="0"/>
                <w:iCs w:val="0"/>
                <w:kern w:val="2"/>
                <w:sz w:val="21"/>
                <w:szCs w:val="21"/>
                <w:u w:val="none"/>
                <w:lang w:val="en-US" w:eastAsia="zh-CN" w:bidi="ar"/>
              </w:rPr>
              <w:t>基础设施条件：片区周边配备鹰塘森林公园、公交停靠站、社区卫生服务站等公服设施，基础设施较为完善。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7" w:hRule="atLeast"/>
          <w:jc w:val="center"/>
        </w:trPr>
        <w:tc>
          <w:tcPr>
            <w:tcW w:w="361"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24</w:t>
            </w:r>
          </w:p>
        </w:tc>
        <w:tc>
          <w:tcPr>
            <w:tcW w:w="560"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仙峰路东片区</w:t>
            </w:r>
          </w:p>
        </w:tc>
        <w:tc>
          <w:tcPr>
            <w:tcW w:w="504"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明城镇潭朗村、明东村</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4.9498</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8.2490</w:t>
            </w:r>
          </w:p>
        </w:tc>
        <w:tc>
          <w:tcPr>
            <w:tcW w:w="2570" w:type="pct"/>
            <w:shd w:val="clear" w:color="auto" w:fill="auto"/>
            <w:vAlign w:val="center"/>
          </w:tcPr>
          <w:p>
            <w:pPr>
              <w:keepNext w:val="0"/>
              <w:keepLines w:val="0"/>
              <w:widowControl/>
              <w:suppressLineNumbers w:val="0"/>
              <w:spacing w:line="240" w:lineRule="auto"/>
              <w:ind w:firstLine="0" w:firstLineChars="0"/>
              <w:jc w:val="left"/>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现状土地利用情况：农用地面积5.0644公顷；建设用地面积2.9215公顷；未利用地面积0.2631公顷。</w:t>
            </w:r>
            <w:r>
              <w:rPr>
                <w:rFonts w:hint="eastAsia" w:ascii="仿宋_GB2312" w:hAnsi="仿宋_GB2312" w:eastAsia="仿宋_GB2312" w:cs="仿宋_GB2312"/>
                <w:i w:val="0"/>
                <w:iCs w:val="0"/>
                <w:kern w:val="2"/>
                <w:sz w:val="21"/>
                <w:szCs w:val="21"/>
                <w:u w:val="none"/>
                <w:lang w:val="en-US" w:eastAsia="zh-CN" w:bidi="ar"/>
              </w:rPr>
              <w:br w:type="textWrapping"/>
            </w:r>
            <w:r>
              <w:rPr>
                <w:rFonts w:hint="eastAsia" w:ascii="仿宋_GB2312" w:hAnsi="仿宋_GB2312" w:eastAsia="仿宋_GB2312" w:cs="仿宋_GB2312"/>
                <w:i w:val="0"/>
                <w:iCs w:val="0"/>
                <w:kern w:val="2"/>
                <w:sz w:val="21"/>
                <w:szCs w:val="21"/>
                <w:u w:val="none"/>
                <w:lang w:val="en-US" w:eastAsia="zh-CN" w:bidi="ar"/>
              </w:rPr>
              <w:t>基础设施条件：西临仙峰路。片区附近有明城郁金香公园、银行网点等公服设施，公服设施需进一步完善。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7" w:hRule="atLeast"/>
          <w:jc w:val="center"/>
        </w:trPr>
        <w:tc>
          <w:tcPr>
            <w:tcW w:w="361"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25</w:t>
            </w:r>
          </w:p>
        </w:tc>
        <w:tc>
          <w:tcPr>
            <w:tcW w:w="560"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仙峰路北片区</w:t>
            </w:r>
          </w:p>
        </w:tc>
        <w:tc>
          <w:tcPr>
            <w:tcW w:w="504"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明城镇潭朗村、明东村</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0.3631</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0.3631</w:t>
            </w:r>
          </w:p>
        </w:tc>
        <w:tc>
          <w:tcPr>
            <w:tcW w:w="2570" w:type="pct"/>
            <w:shd w:val="clear" w:color="auto" w:fill="auto"/>
            <w:vAlign w:val="center"/>
          </w:tcPr>
          <w:p>
            <w:pPr>
              <w:keepNext w:val="0"/>
              <w:keepLines w:val="0"/>
              <w:widowControl/>
              <w:suppressLineNumbers w:val="0"/>
              <w:spacing w:line="240" w:lineRule="auto"/>
              <w:ind w:firstLine="0" w:firstLineChars="0"/>
              <w:jc w:val="left"/>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现状土地利用情况：农用地面积0.1625公顷；建设用地面积0.0201公顷；未利用地面积0.1805公顷。</w:t>
            </w:r>
            <w:r>
              <w:rPr>
                <w:rFonts w:hint="eastAsia" w:ascii="仿宋_GB2312" w:hAnsi="仿宋_GB2312" w:eastAsia="仿宋_GB2312" w:cs="仿宋_GB2312"/>
                <w:i w:val="0"/>
                <w:iCs w:val="0"/>
                <w:kern w:val="2"/>
                <w:sz w:val="21"/>
                <w:szCs w:val="21"/>
                <w:u w:val="none"/>
                <w:lang w:val="en-US" w:eastAsia="zh-CN" w:bidi="ar"/>
              </w:rPr>
              <w:br w:type="textWrapping"/>
            </w:r>
            <w:r>
              <w:rPr>
                <w:rFonts w:hint="eastAsia" w:ascii="仿宋_GB2312" w:hAnsi="仿宋_GB2312" w:eastAsia="仿宋_GB2312" w:cs="仿宋_GB2312"/>
                <w:i w:val="0"/>
                <w:iCs w:val="0"/>
                <w:kern w:val="2"/>
                <w:sz w:val="21"/>
                <w:szCs w:val="21"/>
                <w:u w:val="none"/>
                <w:lang w:val="en-US" w:eastAsia="zh-CN" w:bidi="ar"/>
              </w:rPr>
              <w:t>基础设施条件：南临仙峰路。片区周边公服设施有公共厕所，垃圾收集站等，公服设施较少，需进一步完善。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cantSplit/>
          <w:trHeight w:val="567" w:hRule="atLeast"/>
          <w:jc w:val="center"/>
        </w:trPr>
        <w:tc>
          <w:tcPr>
            <w:tcW w:w="361"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26</w:t>
            </w:r>
          </w:p>
        </w:tc>
        <w:tc>
          <w:tcPr>
            <w:tcW w:w="560"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城七路片区</w:t>
            </w:r>
          </w:p>
        </w:tc>
        <w:tc>
          <w:tcPr>
            <w:tcW w:w="504"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明城镇明东村</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9.9642</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16.6057</w:t>
            </w:r>
          </w:p>
        </w:tc>
        <w:tc>
          <w:tcPr>
            <w:tcW w:w="2570" w:type="pct"/>
            <w:shd w:val="clear" w:color="auto" w:fill="auto"/>
            <w:vAlign w:val="center"/>
          </w:tcPr>
          <w:p>
            <w:pPr>
              <w:keepNext w:val="0"/>
              <w:keepLines w:val="0"/>
              <w:widowControl/>
              <w:suppressLineNumbers w:val="0"/>
              <w:spacing w:line="240" w:lineRule="auto"/>
              <w:ind w:firstLine="0" w:firstLineChars="0"/>
              <w:jc w:val="left"/>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现状土地利用情况：农用地面积11.0310公顷；建设用地面积4.5688公顷；未利用地面积1.0059公顷。</w:t>
            </w:r>
            <w:r>
              <w:rPr>
                <w:rFonts w:hint="eastAsia" w:ascii="仿宋_GB2312" w:hAnsi="仿宋_GB2312" w:eastAsia="仿宋_GB2312" w:cs="仿宋_GB2312"/>
                <w:i w:val="0"/>
                <w:iCs w:val="0"/>
                <w:kern w:val="2"/>
                <w:sz w:val="21"/>
                <w:szCs w:val="21"/>
                <w:u w:val="none"/>
                <w:lang w:val="en-US" w:eastAsia="zh-CN" w:bidi="ar"/>
              </w:rPr>
              <w:br w:type="textWrapping"/>
            </w:r>
            <w:r>
              <w:rPr>
                <w:rFonts w:hint="eastAsia" w:ascii="仿宋_GB2312" w:hAnsi="仿宋_GB2312" w:eastAsia="仿宋_GB2312" w:cs="仿宋_GB2312"/>
                <w:i w:val="0"/>
                <w:iCs w:val="0"/>
                <w:kern w:val="2"/>
                <w:sz w:val="21"/>
                <w:szCs w:val="21"/>
                <w:u w:val="none"/>
                <w:lang w:val="en-US" w:eastAsia="zh-CN" w:bidi="ar"/>
              </w:rPr>
              <w:t>基础设施条件：北临仙峰路，西临广台高速公路，东临云岗路。片区周边配套有变动站、公共厕所、垃圾收集站等，公服设施较少，需进一步完善。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7" w:hRule="atLeast"/>
          <w:jc w:val="center"/>
        </w:trPr>
        <w:tc>
          <w:tcPr>
            <w:tcW w:w="361"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lang w:val="en-US"/>
              </w:rPr>
            </w:pPr>
            <w:r>
              <w:rPr>
                <w:rFonts w:hint="eastAsia" w:ascii="仿宋_GB2312" w:hAnsi="仿宋_GB2312" w:eastAsia="仿宋_GB2312" w:cs="仿宋_GB2312"/>
                <w:i w:val="0"/>
                <w:iCs w:val="0"/>
                <w:kern w:val="2"/>
                <w:sz w:val="21"/>
                <w:szCs w:val="21"/>
                <w:u w:val="none"/>
                <w:lang w:val="en-US" w:eastAsia="zh-CN" w:bidi="ar"/>
              </w:rPr>
              <w:t>27</w:t>
            </w:r>
          </w:p>
        </w:tc>
        <w:tc>
          <w:tcPr>
            <w:tcW w:w="560"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小洞工业园片区</w:t>
            </w:r>
          </w:p>
        </w:tc>
        <w:tc>
          <w:tcPr>
            <w:tcW w:w="504"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更合镇小洞村、更楼社区</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56.7152</w:t>
            </w:r>
          </w:p>
        </w:tc>
        <w:tc>
          <w:tcPr>
            <w:tcW w:w="1422" w:type="dxa"/>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80.9204</w:t>
            </w:r>
          </w:p>
        </w:tc>
        <w:tc>
          <w:tcPr>
            <w:tcW w:w="2570" w:type="pct"/>
            <w:shd w:val="clear" w:color="auto" w:fill="auto"/>
            <w:vAlign w:val="center"/>
          </w:tcPr>
          <w:p>
            <w:pPr>
              <w:keepNext w:val="0"/>
              <w:keepLines w:val="0"/>
              <w:widowControl/>
              <w:suppressLineNumbers w:val="0"/>
              <w:spacing w:line="240" w:lineRule="auto"/>
              <w:ind w:firstLine="0" w:firstLineChars="0"/>
              <w:jc w:val="left"/>
              <w:textAlignment w:val="auto"/>
              <w:rPr>
                <w:rFonts w:hint="eastAsia" w:ascii="仿宋_GB2312" w:hAnsi="仿宋_GB2312" w:eastAsia="仿宋_GB2312" w:cs="仿宋_GB2312"/>
                <w:i w:val="0"/>
                <w:iCs w:val="0"/>
                <w:sz w:val="21"/>
                <w:szCs w:val="21"/>
                <w:u w:val="none"/>
              </w:rPr>
            </w:pPr>
            <w:r>
              <w:rPr>
                <w:rFonts w:hint="eastAsia" w:ascii="仿宋_GB2312" w:hAnsi="仿宋_GB2312" w:eastAsia="仿宋_GB2312" w:cs="仿宋_GB2312"/>
                <w:i w:val="0"/>
                <w:iCs w:val="0"/>
                <w:kern w:val="2"/>
                <w:sz w:val="21"/>
                <w:szCs w:val="21"/>
                <w:u w:val="none"/>
                <w:lang w:val="en-US" w:eastAsia="zh-CN" w:bidi="ar"/>
              </w:rPr>
              <w:t>现状土地利用情况：农用地面积60.8964公顷；建设用地面积16.3635公顷；未利用地面积3.6605公顷。</w:t>
            </w:r>
            <w:r>
              <w:rPr>
                <w:rFonts w:hint="eastAsia" w:ascii="仿宋_GB2312" w:hAnsi="仿宋_GB2312" w:eastAsia="仿宋_GB2312" w:cs="仿宋_GB2312"/>
                <w:i w:val="0"/>
                <w:iCs w:val="0"/>
                <w:kern w:val="2"/>
                <w:sz w:val="21"/>
                <w:szCs w:val="21"/>
                <w:u w:val="none"/>
                <w:lang w:val="en-US" w:eastAsia="zh-CN" w:bidi="ar"/>
              </w:rPr>
              <w:br w:type="textWrapping"/>
            </w:r>
            <w:r>
              <w:rPr>
                <w:rFonts w:hint="eastAsia" w:ascii="仿宋_GB2312" w:hAnsi="仿宋_GB2312" w:eastAsia="仿宋_GB2312" w:cs="仿宋_GB2312"/>
                <w:i w:val="0"/>
                <w:iCs w:val="0"/>
                <w:kern w:val="2"/>
                <w:sz w:val="21"/>
                <w:szCs w:val="21"/>
                <w:u w:val="none"/>
                <w:lang w:val="en-US" w:eastAsia="zh-CN" w:bidi="ar"/>
              </w:rPr>
              <w:t>基础设施条件：东延合和大道。片区内及周边规划有体育建设场地、文化活动室、公共停车场、公交停靠站、社区卫生服务站等基础设施，可满足园区内居民日常生活的需求。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7" w:hRule="atLeast"/>
          <w:jc w:val="center"/>
        </w:trPr>
        <w:tc>
          <w:tcPr>
            <w:tcW w:w="1425" w:type="pct"/>
            <w:gridSpan w:val="3"/>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kern w:val="2"/>
                <w:sz w:val="21"/>
                <w:szCs w:val="21"/>
                <w:u w:val="none"/>
                <w:lang w:val="en-US" w:eastAsia="zh-CN" w:bidi="ar"/>
              </w:rPr>
            </w:pPr>
            <w:r>
              <w:rPr>
                <w:rFonts w:hint="eastAsia" w:ascii="仿宋_GB2312" w:hAnsi="仿宋_GB2312" w:eastAsia="仿宋_GB2312" w:cs="仿宋_GB2312"/>
                <w:i w:val="0"/>
                <w:iCs w:val="0"/>
                <w:kern w:val="2"/>
                <w:sz w:val="21"/>
                <w:szCs w:val="21"/>
                <w:u w:val="none"/>
                <w:lang w:val="en-US" w:eastAsia="zh-CN" w:bidi="ar"/>
              </w:rPr>
              <w:t>合计</w:t>
            </w:r>
          </w:p>
        </w:tc>
        <w:tc>
          <w:tcPr>
            <w:tcW w:w="502"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kern w:val="2"/>
                <w:sz w:val="21"/>
                <w:szCs w:val="21"/>
                <w:u w:val="none"/>
                <w:lang w:val="en-US" w:eastAsia="zh-CN" w:bidi="ar"/>
              </w:rPr>
            </w:pPr>
            <w:r>
              <w:rPr>
                <w:rFonts w:hint="eastAsia" w:ascii="仿宋_GB2312" w:hAnsi="仿宋_GB2312" w:eastAsia="仿宋_GB2312" w:cs="仿宋_GB2312"/>
                <w:i w:val="0"/>
                <w:iCs w:val="0"/>
                <w:kern w:val="2"/>
                <w:sz w:val="21"/>
                <w:szCs w:val="21"/>
                <w:u w:val="none"/>
                <w:lang w:val="en-US" w:eastAsia="zh-CN" w:bidi="ar"/>
              </w:rPr>
              <w:t>257.8326</w:t>
            </w:r>
          </w:p>
        </w:tc>
        <w:tc>
          <w:tcPr>
            <w:tcW w:w="502"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kern w:val="2"/>
                <w:sz w:val="21"/>
                <w:szCs w:val="21"/>
                <w:u w:val="none"/>
                <w:lang w:val="en-US" w:eastAsia="zh-CN" w:bidi="ar"/>
              </w:rPr>
            </w:pPr>
            <w:r>
              <w:rPr>
                <w:rFonts w:hint="eastAsia" w:ascii="仿宋_GB2312" w:hAnsi="仿宋_GB2312" w:eastAsia="仿宋_GB2312" w:cs="仿宋_GB2312"/>
                <w:i w:val="0"/>
                <w:iCs w:val="0"/>
                <w:kern w:val="2"/>
                <w:sz w:val="21"/>
                <w:szCs w:val="21"/>
                <w:u w:val="none"/>
                <w:lang w:val="en-US" w:eastAsia="zh-CN" w:bidi="ar"/>
              </w:rPr>
              <w:t>393.5123</w:t>
            </w:r>
          </w:p>
        </w:tc>
        <w:tc>
          <w:tcPr>
            <w:tcW w:w="2570" w:type="pct"/>
            <w:shd w:val="clear" w:color="auto" w:fill="auto"/>
            <w:vAlign w:val="center"/>
          </w:tcPr>
          <w:p>
            <w:pPr>
              <w:keepNext w:val="0"/>
              <w:keepLines w:val="0"/>
              <w:widowControl/>
              <w:suppressLineNumbers w:val="0"/>
              <w:spacing w:line="240" w:lineRule="auto"/>
              <w:ind w:firstLine="0" w:firstLineChars="0"/>
              <w:jc w:val="center"/>
              <w:textAlignment w:val="auto"/>
              <w:rPr>
                <w:rFonts w:hint="eastAsia" w:ascii="仿宋_GB2312" w:hAnsi="仿宋_GB2312" w:eastAsia="仿宋_GB2312" w:cs="仿宋_GB2312"/>
                <w:i w:val="0"/>
                <w:iCs w:val="0"/>
                <w:kern w:val="2"/>
                <w:sz w:val="21"/>
                <w:szCs w:val="21"/>
                <w:u w:val="none"/>
                <w:lang w:val="en-US" w:eastAsia="zh-CN" w:bidi="ar"/>
              </w:rPr>
            </w:pPr>
          </w:p>
        </w:tc>
      </w:tr>
    </w:tbl>
    <w:p>
      <w:pPr>
        <w:rPr>
          <w:rFonts w:hint="default"/>
          <w:lang w:val="en-US" w:eastAsia="zh-CN"/>
        </w:rPr>
        <w:sectPr>
          <w:pgSz w:w="16838" w:h="11906" w:orient="landscape"/>
          <w:pgMar w:top="1797" w:right="1440" w:bottom="1797" w:left="1440" w:header="851" w:footer="992" w:gutter="0"/>
          <w:pgNumType w:fmt="decimal"/>
          <w:cols w:space="0" w:num="1"/>
          <w:rtlGutter w:val="0"/>
          <w:docGrid w:type="lines" w:linePitch="395" w:charSpace="0"/>
        </w:sectPr>
      </w:pPr>
    </w:p>
    <w:p>
      <w:pPr>
        <w:pStyle w:val="9"/>
        <w:spacing w:before="120" w:after="120" w:line="360" w:lineRule="auto"/>
        <w:ind w:firstLine="0" w:firstLineChars="0"/>
        <w:outlineLvl w:val="0"/>
        <w:rPr>
          <w:rFonts w:hint="default" w:ascii="黑体" w:hAnsi="黑体" w:eastAsia="黑体" w:cs="黑体"/>
          <w:sz w:val="36"/>
          <w:szCs w:val="36"/>
          <w:lang w:val="en-US" w:eastAsia="zh-CN"/>
        </w:rPr>
      </w:pPr>
      <w:bookmarkStart w:id="2" w:name="_Toc22450"/>
      <w:r>
        <w:rPr>
          <w:rFonts w:hint="eastAsia" w:ascii="黑体" w:hAnsi="黑体" w:eastAsia="黑体" w:cs="黑体"/>
          <w:sz w:val="36"/>
          <w:szCs w:val="36"/>
          <w:lang w:val="en-US" w:eastAsia="zh-CN"/>
        </w:rPr>
        <w:t>四</w:t>
      </w:r>
      <w:r>
        <w:rPr>
          <w:rFonts w:hint="eastAsia" w:ascii="黑体" w:hAnsi="黑体" w:eastAsia="黑体" w:cs="黑体"/>
          <w:sz w:val="36"/>
          <w:szCs w:val="36"/>
        </w:rPr>
        <w:t>、</w:t>
      </w:r>
      <w:r>
        <w:rPr>
          <w:rFonts w:hint="eastAsia" w:ascii="黑体" w:hAnsi="黑体" w:eastAsia="黑体" w:cs="黑体"/>
          <w:sz w:val="36"/>
          <w:szCs w:val="36"/>
          <w:lang w:val="en-US" w:eastAsia="zh-CN"/>
        </w:rPr>
        <w:t>成片开发的必要性</w:t>
      </w:r>
      <w:bookmarkEnd w:id="2"/>
    </w:p>
    <w:p>
      <w:pPr>
        <w:pStyle w:val="4"/>
        <w:numPr>
          <w:ilvl w:val="0"/>
          <w:numId w:val="5"/>
        </w:numPr>
        <w:spacing w:before="120" w:after="120"/>
        <w:ind w:left="703" w:hanging="420"/>
        <w:rPr>
          <w:sz w:val="32"/>
        </w:rPr>
      </w:pPr>
      <w:r>
        <w:rPr>
          <w:rFonts w:hint="eastAsia"/>
          <w:sz w:val="32"/>
          <w:lang w:val="en-US" w:eastAsia="zh-CN"/>
        </w:rPr>
        <w:t>优化城市空间格局</w:t>
      </w:r>
    </w:p>
    <w:p>
      <w:pPr>
        <w:widowControl/>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lang w:val="en-US" w:eastAsia="zh-CN"/>
        </w:rPr>
        <w:t>高明正以“一圈两带三园区”的城镇新格局，对其境内发展格局重新进行战略布局。各镇街各司其职，起好步开好局，为打造高质量发展格局。在工业空间方面，荷城街道将强化产业整体布局，全力打开城市发展的新空间；杨和镇大力实施高质量工业立镇工程，有效助推形成更大规模先进制造集聚；明城镇将重点建设盈富产业园，不断优化产业格局；更合镇将结合临空产业新城谋划建设。在生活空间方面，完善城市公共服务设施，优化其与居住空间的耦合协调。在商业空间方面，高明区坚持围绕“一心两大商圈、三大特色商旅区、五大商贸物流基地”的总体格局，特色鲜明的商业空间格局。</w:t>
      </w:r>
    </w:p>
    <w:p>
      <w:pPr>
        <w:pStyle w:val="4"/>
        <w:numPr>
          <w:ilvl w:val="0"/>
          <w:numId w:val="5"/>
        </w:numPr>
        <w:spacing w:before="120" w:after="120"/>
        <w:ind w:left="703" w:hanging="420"/>
        <w:rPr>
          <w:sz w:val="32"/>
        </w:rPr>
      </w:pPr>
      <w:r>
        <w:rPr>
          <w:rFonts w:hint="eastAsia"/>
          <w:sz w:val="32"/>
          <w:lang w:val="en-US" w:eastAsia="zh-CN"/>
        </w:rPr>
        <w:t>促进重点项目落地，加快建设现代产业园区</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高明区“十四五”规划》中提出要结合大湾区建成世界新兴产业、先进制造业和现代服务业基地的战略定位，打造“2+3+1”先进制造业集群，深入实施数字经济发展战略，构建更具竞争力的现代产业体系。新材料产业、先进装备制造产业和新能源汽车</w:t>
      </w:r>
      <w:bookmarkStart w:id="12" w:name="_GoBack"/>
      <w:bookmarkEnd w:id="12"/>
      <w:r>
        <w:rPr>
          <w:rFonts w:hint="eastAsia" w:ascii="仿宋_GB2312" w:hAnsi="仿宋_GB2312" w:eastAsia="仿宋_GB2312" w:cs="仿宋_GB2312"/>
          <w:sz w:val="32"/>
          <w:szCs w:val="32"/>
          <w:lang w:val="en-US" w:eastAsia="zh-CN"/>
        </w:rPr>
        <w:t>及零配件产业作为高明区主导产业，对于带动高明区发展有重大作用。优化土地资源配置和空间布局，优先保证关键产业项目落地、重大发展平台开发。</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p>
    <w:p>
      <w:pPr>
        <w:pStyle w:val="4"/>
        <w:numPr>
          <w:ilvl w:val="0"/>
          <w:numId w:val="5"/>
        </w:numPr>
        <w:spacing w:before="120" w:after="120"/>
        <w:ind w:left="703" w:hanging="420"/>
        <w:rPr>
          <w:sz w:val="32"/>
        </w:rPr>
      </w:pPr>
      <w:r>
        <w:rPr>
          <w:rFonts w:hint="eastAsia" w:ascii="Times New Roman" w:hAnsi="Times New Roman" w:cs="Times New Roman"/>
          <w:b/>
          <w:bCs/>
          <w:sz w:val="32"/>
          <w:szCs w:val="32"/>
          <w:lang w:val="en-US" w:eastAsia="zh-CN"/>
        </w:rPr>
        <w:t>推动建设现代化高品质城市</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高明区“十四五”规划》提出“坚持促消费、扩内需，全面促进消费升级提质，大力打造城市消费新载体和集聚区”和“坚持用经营理念发展城市、绣花功夫管理城市，全面提升城市承载力和形象品质，让城市更富魅力、更加宜居”。片区拟安排商业开发项目，对于促进消费升级提质，全面提升城市商业消费环境，打造品质生活之城。</w:t>
      </w:r>
    </w:p>
    <w:p>
      <w:pPr>
        <w:widowControl/>
        <w:spacing w:line="560" w:lineRule="exact"/>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同时，</w:t>
      </w:r>
      <w:r>
        <w:rPr>
          <w:rFonts w:hint="eastAsia" w:ascii="仿宋_GB2312" w:hAnsi="仿宋_GB2312" w:eastAsia="仿宋_GB2312" w:cs="仿宋_GB2312"/>
          <w:sz w:val="32"/>
          <w:szCs w:val="32"/>
          <w:lang w:val="en-US" w:eastAsia="zh-CN"/>
        </w:rPr>
        <w:t>成片开发</w:t>
      </w:r>
      <w:r>
        <w:rPr>
          <w:rFonts w:hint="eastAsia" w:ascii="仿宋_GB2312" w:hAnsi="仿宋_GB2312" w:eastAsia="仿宋_GB2312" w:cs="仿宋_GB2312"/>
          <w:b w:val="0"/>
          <w:bCs w:val="0"/>
          <w:sz w:val="32"/>
          <w:szCs w:val="32"/>
          <w:lang w:val="en-US" w:eastAsia="zh-CN"/>
        </w:rPr>
        <w:t>片区通过全面参与粤港澳大湾区宜居宜业宜游优质生活圈建设，未来落地住宅开发及配套设施项目，保障民生基本生活水平，助力全区打造公共服务全面、保障体系健全、社会治理能力现代化的优质生活典范。</w:t>
      </w:r>
    </w:p>
    <w:p>
      <w:pPr>
        <w:pStyle w:val="4"/>
        <w:numPr>
          <w:ilvl w:val="0"/>
          <w:numId w:val="5"/>
        </w:numPr>
        <w:spacing w:before="120" w:after="120"/>
        <w:ind w:left="703" w:hanging="420"/>
        <w:rPr>
          <w:sz w:val="32"/>
        </w:rPr>
      </w:pPr>
      <w:r>
        <w:rPr>
          <w:rFonts w:hint="eastAsia" w:ascii="Times New Roman" w:hAnsi="Times New Roman" w:cs="Times New Roman"/>
          <w:b/>
          <w:bCs/>
          <w:sz w:val="32"/>
          <w:szCs w:val="32"/>
          <w:lang w:val="en-US" w:eastAsia="zh-CN"/>
        </w:rPr>
        <w:t>保障农民集体权益的需要</w:t>
      </w:r>
    </w:p>
    <w:p>
      <w:pPr>
        <w:pStyle w:val="2"/>
        <w:spacing w:line="560" w:lineRule="exac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kern w:val="2"/>
          <w:sz w:val="32"/>
          <w:szCs w:val="32"/>
          <w:lang w:val="en-US" w:eastAsia="zh-CN" w:bidi="ar-SA"/>
        </w:rPr>
        <w:t>根据《中华人民共和国土地管理法》（2019年修正）第四十五条，“确需征收农民集体所有的土地的，可以依法实施征收：（五）在土地利用总体规划确定的城镇建设用地范围内，经省级以上人民政府批准由县级以上地方人民政府组织实施的成片开发建设需要用地的”。因此，于2020年后开展土地征收工作的地块需要划定土地征收成片开发范围，落实相关村社集体发展需求，切实保障被征地农民的合法权益。</w:t>
      </w:r>
    </w:p>
    <w:p>
      <w:pPr>
        <w:pStyle w:val="9"/>
        <w:spacing w:before="120" w:after="120" w:line="360" w:lineRule="auto"/>
        <w:ind w:firstLine="0" w:firstLineChars="0"/>
        <w:outlineLvl w:val="0"/>
        <w:rPr>
          <w:rFonts w:hint="default" w:ascii="黑体" w:hAnsi="黑体" w:eastAsia="黑体" w:cs="黑体"/>
          <w:sz w:val="36"/>
          <w:szCs w:val="36"/>
          <w:lang w:val="en-US" w:eastAsia="zh-CN"/>
        </w:rPr>
      </w:pPr>
      <w:r>
        <w:rPr>
          <w:rFonts w:hint="eastAsia" w:ascii="黑体" w:hAnsi="黑体" w:eastAsia="黑体" w:cs="黑体"/>
          <w:sz w:val="36"/>
          <w:szCs w:val="36"/>
          <w:lang w:val="en-US" w:eastAsia="zh-CN"/>
        </w:rPr>
        <w:t>五</w:t>
      </w:r>
      <w:r>
        <w:rPr>
          <w:rFonts w:hint="eastAsia" w:ascii="黑体" w:hAnsi="黑体" w:eastAsia="黑体" w:cs="黑体"/>
          <w:sz w:val="36"/>
          <w:szCs w:val="36"/>
        </w:rPr>
        <w:t>、</w:t>
      </w:r>
      <w:r>
        <w:rPr>
          <w:rFonts w:hint="eastAsia" w:ascii="黑体" w:hAnsi="黑体" w:eastAsia="黑体" w:cs="黑体"/>
          <w:sz w:val="36"/>
          <w:szCs w:val="36"/>
          <w:lang w:val="en-US" w:eastAsia="zh-CN"/>
        </w:rPr>
        <w:t>公益性用地占比情况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本方案内各片区内公益性用地占比均符合《自然资源部关于印发&lt;土地征收成片开发标准（试行）&gt;的通知》（自然资规〔2020〕5号）公益性用地占比一般不低于40%的</w:t>
      </w:r>
      <w:r>
        <w:rPr>
          <w:rFonts w:hint="eastAsia" w:ascii="仿宋_GB2312" w:hAnsi="仿宋_GB2312" w:eastAsia="仿宋_GB2312" w:cs="仿宋_GB2312"/>
          <w:sz w:val="32"/>
          <w:szCs w:val="32"/>
          <w:lang w:val="en-US" w:eastAsia="zh-CN"/>
        </w:rPr>
        <w:t>要求</w:t>
      </w:r>
      <w:r>
        <w:rPr>
          <w:rFonts w:hint="eastAsia" w:ascii="仿宋_GB2312" w:hAnsi="仿宋_GB2312" w:eastAsia="仿宋_GB2312" w:cs="仿宋_GB2312"/>
          <w:sz w:val="32"/>
          <w:szCs w:val="32"/>
        </w:rPr>
        <w:t>。</w:t>
      </w:r>
    </w:p>
    <w:p>
      <w:pPr>
        <w:pStyle w:val="9"/>
        <w:spacing w:line="360" w:lineRule="auto"/>
        <w:ind w:firstLine="482"/>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表5-1 成片开发片区公益性用地比例情况汇总表</w:t>
      </w:r>
    </w:p>
    <w:tbl>
      <w:tblPr>
        <w:tblStyle w:val="17"/>
        <w:tblW w:w="500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80"/>
        <w:gridCol w:w="2332"/>
        <w:gridCol w:w="1504"/>
        <w:gridCol w:w="1908"/>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 w:hRule="atLeast"/>
          <w:tblHeader/>
        </w:trPr>
        <w:tc>
          <w:tcPr>
            <w:tcW w:w="633" w:type="pct"/>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b/>
                <w:bCs/>
                <w:i w:val="0"/>
                <w:iCs w:val="0"/>
                <w:sz w:val="21"/>
                <w:szCs w:val="21"/>
                <w:u w:val="none"/>
                <w:lang w:bidi="ar"/>
              </w:rPr>
            </w:pPr>
            <w:r>
              <w:rPr>
                <w:rFonts w:hint="eastAsia" w:ascii="仿宋_GB2312" w:hAnsi="仿宋_GB2312" w:eastAsia="仿宋_GB2312" w:cs="仿宋_GB2312"/>
                <w:b/>
                <w:bCs/>
                <w:i w:val="0"/>
                <w:iCs w:val="0"/>
                <w:kern w:val="2"/>
                <w:sz w:val="21"/>
                <w:szCs w:val="21"/>
                <w:u w:val="none"/>
                <w:lang w:val="en-US" w:eastAsia="zh-CN" w:bidi="ar"/>
              </w:rPr>
              <w:t>序号</w:t>
            </w:r>
          </w:p>
        </w:tc>
        <w:tc>
          <w:tcPr>
            <w:tcW w:w="1366" w:type="pct"/>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b/>
                <w:bCs/>
                <w:i w:val="0"/>
                <w:iCs w:val="0"/>
                <w:sz w:val="21"/>
                <w:szCs w:val="21"/>
                <w:u w:val="none"/>
                <w:lang w:bidi="ar"/>
              </w:rPr>
            </w:pPr>
            <w:r>
              <w:rPr>
                <w:rFonts w:hint="eastAsia" w:ascii="仿宋_GB2312" w:hAnsi="仿宋_GB2312" w:eastAsia="仿宋_GB2312" w:cs="仿宋_GB2312"/>
                <w:b/>
                <w:bCs/>
                <w:i w:val="0"/>
                <w:iCs w:val="0"/>
                <w:kern w:val="2"/>
                <w:sz w:val="21"/>
                <w:szCs w:val="21"/>
                <w:u w:val="none"/>
                <w:lang w:val="en-US" w:eastAsia="zh-CN" w:bidi="ar"/>
              </w:rPr>
              <w:t>片区名称</w:t>
            </w:r>
          </w:p>
        </w:tc>
        <w:tc>
          <w:tcPr>
            <w:tcW w:w="881"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b/>
                <w:bCs/>
                <w:i w:val="0"/>
                <w:iCs w:val="0"/>
                <w:sz w:val="21"/>
                <w:szCs w:val="21"/>
                <w:u w:val="none"/>
                <w:lang w:bidi="ar"/>
              </w:rPr>
            </w:pPr>
            <w:r>
              <w:rPr>
                <w:rFonts w:hint="eastAsia" w:ascii="仿宋_GB2312" w:hAnsi="仿宋_GB2312" w:eastAsia="仿宋_GB2312" w:cs="仿宋_GB2312"/>
                <w:b/>
                <w:bCs/>
                <w:i w:val="0"/>
                <w:iCs w:val="0"/>
                <w:kern w:val="2"/>
                <w:sz w:val="21"/>
                <w:szCs w:val="21"/>
                <w:u w:val="none"/>
                <w:lang w:val="en-US" w:eastAsia="zh-CN" w:bidi="ar"/>
              </w:rPr>
              <w:t>面积（公顷）</w:t>
            </w:r>
          </w:p>
        </w:tc>
        <w:tc>
          <w:tcPr>
            <w:tcW w:w="1118"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b/>
                <w:bCs/>
                <w:i w:val="0"/>
                <w:iCs w:val="0"/>
                <w:sz w:val="21"/>
                <w:szCs w:val="21"/>
                <w:u w:val="none"/>
                <w:lang w:bidi="ar"/>
              </w:rPr>
            </w:pPr>
            <w:r>
              <w:rPr>
                <w:rFonts w:hint="eastAsia" w:ascii="仿宋_GB2312" w:hAnsi="仿宋_GB2312" w:eastAsia="仿宋_GB2312" w:cs="仿宋_GB2312"/>
                <w:b/>
                <w:bCs/>
                <w:i w:val="0"/>
                <w:iCs w:val="0"/>
                <w:kern w:val="2"/>
                <w:sz w:val="21"/>
                <w:szCs w:val="21"/>
                <w:u w:val="none"/>
                <w:lang w:val="en-US" w:eastAsia="zh-CN" w:bidi="ar"/>
              </w:rPr>
              <w:t>公益性用地面积（公顷）</w:t>
            </w:r>
          </w:p>
        </w:tc>
        <w:tc>
          <w:tcPr>
            <w:tcW w:w="1000"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b/>
                <w:bCs/>
                <w:i w:val="0"/>
                <w:iCs w:val="0"/>
                <w:sz w:val="21"/>
                <w:szCs w:val="21"/>
                <w:u w:val="none"/>
                <w:lang w:bidi="ar"/>
              </w:rPr>
            </w:pPr>
            <w:r>
              <w:rPr>
                <w:rFonts w:hint="eastAsia" w:ascii="仿宋_GB2312" w:hAnsi="仿宋_GB2312" w:eastAsia="仿宋_GB2312" w:cs="仿宋_GB2312"/>
                <w:b/>
                <w:bCs/>
                <w:i w:val="0"/>
                <w:iCs w:val="0"/>
                <w:kern w:val="2"/>
                <w:sz w:val="21"/>
                <w:szCs w:val="21"/>
                <w:u w:val="none"/>
                <w:lang w:val="en-US" w:eastAsia="zh-CN" w:bidi="ar"/>
              </w:rPr>
              <w:t>公益性用地占比（%）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72" w:hRule="atLeast"/>
        </w:trPr>
        <w:tc>
          <w:tcPr>
            <w:tcW w:w="633" w:type="pct"/>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w:t>
            </w:r>
          </w:p>
        </w:tc>
        <w:tc>
          <w:tcPr>
            <w:tcW w:w="1366"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荷富路东二片区</w:t>
            </w:r>
          </w:p>
        </w:tc>
        <w:tc>
          <w:tcPr>
            <w:tcW w:w="88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8.1634</w:t>
            </w:r>
          </w:p>
        </w:tc>
        <w:tc>
          <w:tcPr>
            <w:tcW w:w="1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b w:val="0"/>
                <w:bCs w:val="0"/>
                <w:i w:val="0"/>
                <w:iCs w:val="0"/>
                <w:sz w:val="21"/>
                <w:szCs w:val="21"/>
                <w:u w:val="none"/>
                <w:lang w:val="en-US" w:bidi="ar"/>
              </w:rPr>
            </w:pPr>
            <w:r>
              <w:rPr>
                <w:rFonts w:hint="eastAsia" w:ascii="仿宋_GB2312" w:hAnsi="仿宋_GB2312" w:eastAsia="仿宋_GB2312" w:cs="仿宋_GB2312"/>
                <w:i w:val="0"/>
                <w:iCs w:val="0"/>
                <w:kern w:val="2"/>
                <w:sz w:val="21"/>
                <w:szCs w:val="21"/>
                <w:u w:val="none"/>
                <w:lang w:val="en-US" w:eastAsia="zh-CN" w:bidi="ar"/>
              </w:rPr>
              <w:t>3.2676</w:t>
            </w:r>
          </w:p>
        </w:tc>
        <w:tc>
          <w:tcPr>
            <w:tcW w:w="100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72" w:hRule="atLeast"/>
        </w:trPr>
        <w:tc>
          <w:tcPr>
            <w:tcW w:w="633" w:type="pct"/>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w:t>
            </w:r>
          </w:p>
        </w:tc>
        <w:tc>
          <w:tcPr>
            <w:tcW w:w="1366"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电力智造园片区</w:t>
            </w:r>
          </w:p>
        </w:tc>
        <w:tc>
          <w:tcPr>
            <w:tcW w:w="88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17.2069</w:t>
            </w:r>
          </w:p>
        </w:tc>
        <w:tc>
          <w:tcPr>
            <w:tcW w:w="1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b w:val="0"/>
                <w:bCs w:val="0"/>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6.8819</w:t>
            </w:r>
          </w:p>
        </w:tc>
        <w:tc>
          <w:tcPr>
            <w:tcW w:w="100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 w:hRule="atLeast"/>
        </w:trPr>
        <w:tc>
          <w:tcPr>
            <w:tcW w:w="633" w:type="pct"/>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3</w:t>
            </w:r>
          </w:p>
        </w:tc>
        <w:tc>
          <w:tcPr>
            <w:tcW w:w="1366"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照明产业基地片区</w:t>
            </w:r>
          </w:p>
        </w:tc>
        <w:tc>
          <w:tcPr>
            <w:tcW w:w="88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val="en-US" w:bidi="ar"/>
              </w:rPr>
            </w:pPr>
            <w:r>
              <w:rPr>
                <w:rFonts w:hint="eastAsia" w:ascii="仿宋_GB2312" w:hAnsi="仿宋_GB2312" w:eastAsia="仿宋_GB2312" w:cs="仿宋_GB2312"/>
                <w:i w:val="0"/>
                <w:iCs w:val="0"/>
                <w:kern w:val="2"/>
                <w:sz w:val="21"/>
                <w:szCs w:val="21"/>
                <w:u w:val="none"/>
                <w:lang w:val="en-US" w:eastAsia="zh-CN" w:bidi="ar"/>
              </w:rPr>
              <w:t>14.5279</w:t>
            </w:r>
          </w:p>
        </w:tc>
        <w:tc>
          <w:tcPr>
            <w:tcW w:w="1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b w:val="0"/>
                <w:bCs w:val="0"/>
                <w:i w:val="0"/>
                <w:iCs w:val="0"/>
                <w:sz w:val="21"/>
                <w:szCs w:val="21"/>
                <w:u w:val="none"/>
                <w:lang w:bidi="ar"/>
              </w:rPr>
            </w:pPr>
            <w:r>
              <w:rPr>
                <w:rFonts w:hint="eastAsia" w:ascii="仿宋_GB2312" w:hAnsi="仿宋_GB2312" w:eastAsia="仿宋_GB2312" w:cs="仿宋_GB2312"/>
                <w:b w:val="0"/>
                <w:bCs w:val="0"/>
                <w:i w:val="0"/>
                <w:iCs w:val="0"/>
                <w:sz w:val="21"/>
                <w:szCs w:val="21"/>
                <w:u w:val="none"/>
                <w:lang w:bidi="ar"/>
              </w:rPr>
              <w:t>5.9479</w:t>
            </w:r>
          </w:p>
        </w:tc>
        <w:tc>
          <w:tcPr>
            <w:tcW w:w="100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40.94%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 w:hRule="atLeast"/>
        </w:trPr>
        <w:tc>
          <w:tcPr>
            <w:tcW w:w="633" w:type="pct"/>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w:t>
            </w:r>
          </w:p>
        </w:tc>
        <w:tc>
          <w:tcPr>
            <w:tcW w:w="1366"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莞佛高速北片区</w:t>
            </w:r>
          </w:p>
        </w:tc>
        <w:tc>
          <w:tcPr>
            <w:tcW w:w="88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3.6210</w:t>
            </w:r>
          </w:p>
        </w:tc>
        <w:tc>
          <w:tcPr>
            <w:tcW w:w="1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sz w:val="21"/>
                <w:szCs w:val="21"/>
                <w:u w:val="none"/>
                <w:lang w:bidi="ar"/>
              </w:rPr>
              <w:t>1.4491</w:t>
            </w:r>
          </w:p>
        </w:tc>
        <w:tc>
          <w:tcPr>
            <w:tcW w:w="100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72" w:hRule="atLeast"/>
        </w:trPr>
        <w:tc>
          <w:tcPr>
            <w:tcW w:w="633" w:type="pct"/>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5</w:t>
            </w:r>
          </w:p>
        </w:tc>
        <w:tc>
          <w:tcPr>
            <w:tcW w:w="1366"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庆洲工业区北片区</w:t>
            </w:r>
          </w:p>
        </w:tc>
        <w:tc>
          <w:tcPr>
            <w:tcW w:w="88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55.8695</w:t>
            </w:r>
          </w:p>
        </w:tc>
        <w:tc>
          <w:tcPr>
            <w:tcW w:w="1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b w:val="0"/>
                <w:bCs w:val="0"/>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22.4353</w:t>
            </w:r>
          </w:p>
        </w:tc>
        <w:tc>
          <w:tcPr>
            <w:tcW w:w="100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 w:hRule="atLeast"/>
        </w:trPr>
        <w:tc>
          <w:tcPr>
            <w:tcW w:w="633" w:type="pct"/>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6</w:t>
            </w:r>
          </w:p>
        </w:tc>
        <w:tc>
          <w:tcPr>
            <w:tcW w:w="1366"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庆洲工业区南片区</w:t>
            </w:r>
          </w:p>
        </w:tc>
        <w:tc>
          <w:tcPr>
            <w:tcW w:w="88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2.1415</w:t>
            </w:r>
          </w:p>
        </w:tc>
        <w:tc>
          <w:tcPr>
            <w:tcW w:w="1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b w:val="0"/>
                <w:bCs w:val="0"/>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0.8565</w:t>
            </w:r>
          </w:p>
        </w:tc>
        <w:tc>
          <w:tcPr>
            <w:tcW w:w="100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72" w:hRule="atLeast"/>
        </w:trPr>
        <w:tc>
          <w:tcPr>
            <w:tcW w:w="633" w:type="pct"/>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7</w:t>
            </w:r>
          </w:p>
        </w:tc>
        <w:tc>
          <w:tcPr>
            <w:tcW w:w="1366"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高明河北片区</w:t>
            </w:r>
          </w:p>
        </w:tc>
        <w:tc>
          <w:tcPr>
            <w:tcW w:w="88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default" w:ascii="仿宋_GB2312" w:hAnsi="仿宋_GB2312" w:eastAsia="仿宋_GB2312" w:cs="仿宋_GB2312"/>
                <w:i w:val="0"/>
                <w:iCs w:val="0"/>
                <w:sz w:val="21"/>
                <w:szCs w:val="21"/>
                <w:u w:val="none"/>
                <w:lang w:val="en-US" w:bidi="ar"/>
              </w:rPr>
            </w:pPr>
            <w:r>
              <w:rPr>
                <w:rFonts w:hint="eastAsia" w:ascii="仿宋_GB2312" w:hAnsi="仿宋_GB2312" w:eastAsia="仿宋_GB2312" w:cs="仿宋_GB2312"/>
                <w:i w:val="0"/>
                <w:iCs w:val="0"/>
                <w:kern w:val="2"/>
                <w:sz w:val="21"/>
                <w:szCs w:val="21"/>
                <w:u w:val="none"/>
                <w:lang w:val="en-US" w:eastAsia="zh-CN" w:bidi="ar"/>
              </w:rPr>
              <w:t>10.4872</w:t>
            </w:r>
          </w:p>
        </w:tc>
        <w:tc>
          <w:tcPr>
            <w:tcW w:w="1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b w:val="0"/>
                <w:bCs w:val="0"/>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4.2004</w:t>
            </w:r>
          </w:p>
        </w:tc>
        <w:tc>
          <w:tcPr>
            <w:tcW w:w="100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 w:hRule="atLeast"/>
        </w:trPr>
        <w:tc>
          <w:tcPr>
            <w:tcW w:w="633" w:type="pct"/>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8</w:t>
            </w:r>
          </w:p>
        </w:tc>
        <w:tc>
          <w:tcPr>
            <w:tcW w:w="1366"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文明路西片区</w:t>
            </w:r>
          </w:p>
        </w:tc>
        <w:tc>
          <w:tcPr>
            <w:tcW w:w="88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0.9852</w:t>
            </w:r>
          </w:p>
        </w:tc>
        <w:tc>
          <w:tcPr>
            <w:tcW w:w="1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0.4302</w:t>
            </w:r>
          </w:p>
        </w:tc>
        <w:tc>
          <w:tcPr>
            <w:tcW w:w="100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43.67%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 w:hRule="atLeast"/>
        </w:trPr>
        <w:tc>
          <w:tcPr>
            <w:tcW w:w="633" w:type="pct"/>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9</w:t>
            </w:r>
          </w:p>
        </w:tc>
        <w:tc>
          <w:tcPr>
            <w:tcW w:w="1366"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七星岗公园西片区</w:t>
            </w:r>
          </w:p>
        </w:tc>
        <w:tc>
          <w:tcPr>
            <w:tcW w:w="88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default" w:ascii="仿宋_GB2312" w:hAnsi="仿宋_GB2312" w:eastAsia="仿宋_GB2312" w:cs="仿宋_GB2312"/>
                <w:i w:val="0"/>
                <w:iCs w:val="0"/>
                <w:sz w:val="21"/>
                <w:szCs w:val="21"/>
                <w:u w:val="none"/>
                <w:lang w:val="en-US" w:bidi="ar"/>
              </w:rPr>
            </w:pPr>
            <w:r>
              <w:rPr>
                <w:rFonts w:hint="eastAsia" w:ascii="仿宋_GB2312" w:hAnsi="仿宋_GB2312" w:eastAsia="仿宋_GB2312" w:cs="仿宋_GB2312"/>
                <w:i w:val="0"/>
                <w:iCs w:val="0"/>
                <w:kern w:val="2"/>
                <w:sz w:val="21"/>
                <w:szCs w:val="21"/>
                <w:u w:val="none"/>
                <w:lang w:val="en-US" w:eastAsia="zh-CN" w:bidi="ar"/>
              </w:rPr>
              <w:t>0.2301</w:t>
            </w:r>
          </w:p>
        </w:tc>
        <w:tc>
          <w:tcPr>
            <w:tcW w:w="1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default" w:ascii="仿宋_GB2312" w:hAnsi="仿宋_GB2312" w:eastAsia="仿宋_GB2312" w:cs="仿宋_GB2312"/>
                <w:i w:val="0"/>
                <w:iCs w:val="0"/>
                <w:sz w:val="21"/>
                <w:szCs w:val="21"/>
                <w:u w:val="none"/>
                <w:lang w:val="en-US" w:bidi="ar"/>
              </w:rPr>
            </w:pPr>
            <w:r>
              <w:rPr>
                <w:rFonts w:hint="eastAsia" w:ascii="仿宋_GB2312" w:hAnsi="仿宋_GB2312" w:eastAsia="仿宋_GB2312" w:cs="仿宋_GB2312"/>
                <w:i w:val="0"/>
                <w:iCs w:val="0"/>
                <w:kern w:val="2"/>
                <w:sz w:val="21"/>
                <w:szCs w:val="21"/>
                <w:u w:val="none"/>
                <w:lang w:val="en-US" w:eastAsia="zh-CN" w:bidi="ar"/>
              </w:rPr>
              <w:t>0.0940</w:t>
            </w:r>
          </w:p>
        </w:tc>
        <w:tc>
          <w:tcPr>
            <w:tcW w:w="100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 w:hRule="atLeast"/>
        </w:trPr>
        <w:tc>
          <w:tcPr>
            <w:tcW w:w="633"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10</w:t>
            </w:r>
          </w:p>
        </w:tc>
        <w:tc>
          <w:tcPr>
            <w:tcW w:w="1366"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大德北路东片区</w:t>
            </w:r>
          </w:p>
        </w:tc>
        <w:tc>
          <w:tcPr>
            <w:tcW w:w="881"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23.3620</w:t>
            </w:r>
          </w:p>
        </w:tc>
        <w:tc>
          <w:tcPr>
            <w:tcW w:w="1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b w:val="0"/>
                <w:bCs w:val="0"/>
                <w:i w:val="0"/>
                <w:iCs w:val="0"/>
                <w:sz w:val="21"/>
                <w:szCs w:val="21"/>
                <w:u w:val="none"/>
                <w:lang w:val="en-US" w:bidi="ar"/>
              </w:rPr>
            </w:pPr>
            <w:r>
              <w:rPr>
                <w:rFonts w:hint="eastAsia" w:ascii="仿宋_GB2312" w:hAnsi="仿宋_GB2312" w:eastAsia="仿宋_GB2312" w:cs="仿宋_GB2312"/>
                <w:i w:val="0"/>
                <w:iCs w:val="0"/>
                <w:kern w:val="2"/>
                <w:sz w:val="21"/>
                <w:szCs w:val="21"/>
                <w:u w:val="none"/>
                <w:lang w:val="en-US" w:eastAsia="zh-CN" w:bidi="ar"/>
              </w:rPr>
              <w:t>9.4200</w:t>
            </w:r>
          </w:p>
        </w:tc>
        <w:tc>
          <w:tcPr>
            <w:tcW w:w="100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72" w:hRule="atLeast"/>
        </w:trPr>
        <w:tc>
          <w:tcPr>
            <w:tcW w:w="633" w:type="pct"/>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11</w:t>
            </w:r>
          </w:p>
        </w:tc>
        <w:tc>
          <w:tcPr>
            <w:tcW w:w="1366" w:type="pct"/>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汇智路片区</w:t>
            </w:r>
          </w:p>
        </w:tc>
        <w:tc>
          <w:tcPr>
            <w:tcW w:w="881"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5.3391</w:t>
            </w:r>
          </w:p>
        </w:tc>
        <w:tc>
          <w:tcPr>
            <w:tcW w:w="1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b w:val="0"/>
                <w:bCs w:val="0"/>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2.2083</w:t>
            </w:r>
          </w:p>
        </w:tc>
        <w:tc>
          <w:tcPr>
            <w:tcW w:w="100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72" w:hRule="atLeast"/>
        </w:trPr>
        <w:tc>
          <w:tcPr>
            <w:tcW w:w="633"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12</w:t>
            </w:r>
          </w:p>
        </w:tc>
        <w:tc>
          <w:tcPr>
            <w:tcW w:w="1366"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丽景东路南片区</w:t>
            </w:r>
          </w:p>
        </w:tc>
        <w:tc>
          <w:tcPr>
            <w:tcW w:w="881"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2.9098</w:t>
            </w:r>
          </w:p>
        </w:tc>
        <w:tc>
          <w:tcPr>
            <w:tcW w:w="1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val="en-US" w:bidi="ar"/>
              </w:rPr>
            </w:pPr>
            <w:r>
              <w:rPr>
                <w:rFonts w:hint="eastAsia" w:ascii="仿宋_GB2312" w:hAnsi="仿宋_GB2312" w:eastAsia="仿宋_GB2312" w:cs="仿宋_GB2312"/>
                <w:i w:val="0"/>
                <w:iCs w:val="0"/>
                <w:kern w:val="2"/>
                <w:sz w:val="21"/>
                <w:szCs w:val="21"/>
                <w:u w:val="none"/>
                <w:lang w:val="en-US" w:eastAsia="zh-CN" w:bidi="ar"/>
              </w:rPr>
              <w:t>1.1639</w:t>
            </w:r>
          </w:p>
        </w:tc>
        <w:tc>
          <w:tcPr>
            <w:tcW w:w="100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72" w:hRule="atLeast"/>
        </w:trPr>
        <w:tc>
          <w:tcPr>
            <w:tcW w:w="633"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13</w:t>
            </w:r>
          </w:p>
        </w:tc>
        <w:tc>
          <w:tcPr>
            <w:tcW w:w="1366"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和辉路南片区</w:t>
            </w:r>
          </w:p>
        </w:tc>
        <w:tc>
          <w:tcPr>
            <w:tcW w:w="881"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3.2628</w:t>
            </w:r>
          </w:p>
        </w:tc>
        <w:tc>
          <w:tcPr>
            <w:tcW w:w="1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1.3594</w:t>
            </w:r>
          </w:p>
        </w:tc>
        <w:tc>
          <w:tcPr>
            <w:tcW w:w="100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41.66%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72" w:hRule="atLeast"/>
        </w:trPr>
        <w:tc>
          <w:tcPr>
            <w:tcW w:w="633"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14</w:t>
            </w:r>
          </w:p>
        </w:tc>
        <w:tc>
          <w:tcPr>
            <w:tcW w:w="1366"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三康路北片区</w:t>
            </w:r>
          </w:p>
        </w:tc>
        <w:tc>
          <w:tcPr>
            <w:tcW w:w="881"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4.7559</w:t>
            </w:r>
          </w:p>
        </w:tc>
        <w:tc>
          <w:tcPr>
            <w:tcW w:w="1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1.9599</w:t>
            </w:r>
          </w:p>
        </w:tc>
        <w:tc>
          <w:tcPr>
            <w:tcW w:w="100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72" w:hRule="atLeast"/>
        </w:trPr>
        <w:tc>
          <w:tcPr>
            <w:tcW w:w="633"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15</w:t>
            </w:r>
          </w:p>
        </w:tc>
        <w:tc>
          <w:tcPr>
            <w:tcW w:w="1366"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杨西大道北一片区</w:t>
            </w:r>
          </w:p>
        </w:tc>
        <w:tc>
          <w:tcPr>
            <w:tcW w:w="881"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17.6059</w:t>
            </w:r>
          </w:p>
        </w:tc>
        <w:tc>
          <w:tcPr>
            <w:tcW w:w="1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b w:val="0"/>
                <w:bCs w:val="0"/>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7.0718</w:t>
            </w:r>
          </w:p>
        </w:tc>
        <w:tc>
          <w:tcPr>
            <w:tcW w:w="100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72" w:hRule="atLeast"/>
        </w:trPr>
        <w:tc>
          <w:tcPr>
            <w:tcW w:w="633"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16</w:t>
            </w:r>
          </w:p>
        </w:tc>
        <w:tc>
          <w:tcPr>
            <w:tcW w:w="1366"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杨西大道北二片区</w:t>
            </w:r>
          </w:p>
        </w:tc>
        <w:tc>
          <w:tcPr>
            <w:tcW w:w="881"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29.9616</w:t>
            </w:r>
          </w:p>
        </w:tc>
        <w:tc>
          <w:tcPr>
            <w:tcW w:w="1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b w:val="0"/>
                <w:bCs w:val="0"/>
                <w:i w:val="0"/>
                <w:iCs w:val="0"/>
                <w:sz w:val="21"/>
                <w:szCs w:val="21"/>
                <w:u w:val="none"/>
                <w:lang w:val="en-US" w:bidi="ar"/>
              </w:rPr>
            </w:pPr>
            <w:r>
              <w:rPr>
                <w:rFonts w:hint="eastAsia" w:ascii="仿宋_GB2312" w:hAnsi="仿宋_GB2312" w:eastAsia="仿宋_GB2312" w:cs="仿宋_GB2312"/>
                <w:i w:val="0"/>
                <w:iCs w:val="0"/>
                <w:kern w:val="2"/>
                <w:sz w:val="21"/>
                <w:szCs w:val="21"/>
                <w:u w:val="none"/>
                <w:lang w:val="en-US" w:eastAsia="zh-CN" w:bidi="ar"/>
              </w:rPr>
              <w:t>11.9835</w:t>
            </w:r>
          </w:p>
        </w:tc>
        <w:tc>
          <w:tcPr>
            <w:tcW w:w="100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72" w:hRule="atLeast"/>
        </w:trPr>
        <w:tc>
          <w:tcPr>
            <w:tcW w:w="633"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val="en-US" w:bidi="ar"/>
              </w:rPr>
            </w:pPr>
            <w:r>
              <w:rPr>
                <w:rFonts w:hint="eastAsia" w:ascii="仿宋_GB2312" w:hAnsi="仿宋_GB2312" w:eastAsia="仿宋_GB2312" w:cs="仿宋_GB2312"/>
                <w:i w:val="0"/>
                <w:iCs w:val="0"/>
                <w:kern w:val="2"/>
                <w:sz w:val="21"/>
                <w:szCs w:val="21"/>
                <w:u w:val="none"/>
                <w:lang w:val="en-US" w:eastAsia="zh-CN" w:bidi="ar"/>
              </w:rPr>
              <w:t>17</w:t>
            </w:r>
          </w:p>
        </w:tc>
        <w:tc>
          <w:tcPr>
            <w:tcW w:w="1366"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三和路南片区</w:t>
            </w:r>
          </w:p>
        </w:tc>
        <w:tc>
          <w:tcPr>
            <w:tcW w:w="881"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val="en-US" w:bidi="ar"/>
              </w:rPr>
            </w:pPr>
            <w:r>
              <w:rPr>
                <w:rFonts w:hint="eastAsia" w:ascii="仿宋_GB2312" w:hAnsi="仿宋_GB2312" w:eastAsia="仿宋_GB2312" w:cs="仿宋_GB2312"/>
                <w:i w:val="0"/>
                <w:iCs w:val="0"/>
                <w:kern w:val="2"/>
                <w:sz w:val="21"/>
                <w:szCs w:val="21"/>
                <w:u w:val="none"/>
                <w:lang w:val="en-US" w:eastAsia="zh-CN" w:bidi="ar"/>
              </w:rPr>
              <w:t>5.6380</w:t>
            </w:r>
          </w:p>
        </w:tc>
        <w:tc>
          <w:tcPr>
            <w:tcW w:w="1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2.2552</w:t>
            </w:r>
          </w:p>
        </w:tc>
        <w:tc>
          <w:tcPr>
            <w:tcW w:w="100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72" w:hRule="atLeast"/>
        </w:trPr>
        <w:tc>
          <w:tcPr>
            <w:tcW w:w="633"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val="en-US" w:eastAsia="zh-CN" w:bidi="ar"/>
              </w:rPr>
            </w:pPr>
            <w:r>
              <w:rPr>
                <w:rFonts w:hint="eastAsia" w:ascii="仿宋_GB2312" w:hAnsi="仿宋_GB2312" w:eastAsia="仿宋_GB2312" w:cs="仿宋_GB2312"/>
                <w:i w:val="0"/>
                <w:iCs w:val="0"/>
                <w:sz w:val="21"/>
                <w:szCs w:val="21"/>
                <w:u w:val="none"/>
                <w:lang w:val="en-US" w:eastAsia="zh-CN" w:bidi="ar"/>
              </w:rPr>
              <w:t>18</w:t>
            </w:r>
          </w:p>
        </w:tc>
        <w:tc>
          <w:tcPr>
            <w:tcW w:w="1366"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明七路南片区</w:t>
            </w:r>
          </w:p>
        </w:tc>
        <w:tc>
          <w:tcPr>
            <w:tcW w:w="881"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0.6351</w:t>
            </w:r>
          </w:p>
        </w:tc>
        <w:tc>
          <w:tcPr>
            <w:tcW w:w="1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b w:val="0"/>
                <w:bCs w:val="0"/>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0.3348</w:t>
            </w:r>
          </w:p>
        </w:tc>
        <w:tc>
          <w:tcPr>
            <w:tcW w:w="100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52.72%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72" w:hRule="atLeast"/>
        </w:trPr>
        <w:tc>
          <w:tcPr>
            <w:tcW w:w="633"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val="en-US" w:bidi="ar"/>
              </w:rPr>
            </w:pPr>
            <w:r>
              <w:rPr>
                <w:rFonts w:hint="eastAsia" w:ascii="仿宋_GB2312" w:hAnsi="仿宋_GB2312" w:eastAsia="仿宋_GB2312" w:cs="仿宋_GB2312"/>
                <w:i w:val="0"/>
                <w:iCs w:val="0"/>
                <w:kern w:val="2"/>
                <w:sz w:val="21"/>
                <w:szCs w:val="21"/>
                <w:u w:val="none"/>
                <w:lang w:val="en-US" w:eastAsia="zh-CN" w:bidi="ar"/>
              </w:rPr>
              <w:t>19</w:t>
            </w:r>
          </w:p>
        </w:tc>
        <w:tc>
          <w:tcPr>
            <w:tcW w:w="1366"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对川工业大道北片区</w:t>
            </w:r>
          </w:p>
        </w:tc>
        <w:tc>
          <w:tcPr>
            <w:tcW w:w="881"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6.8203</w:t>
            </w:r>
          </w:p>
        </w:tc>
        <w:tc>
          <w:tcPr>
            <w:tcW w:w="1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b w:val="0"/>
                <w:bCs w:val="0"/>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2.7302</w:t>
            </w:r>
          </w:p>
        </w:tc>
        <w:tc>
          <w:tcPr>
            <w:tcW w:w="100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72" w:hRule="atLeast"/>
        </w:trPr>
        <w:tc>
          <w:tcPr>
            <w:tcW w:w="633"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val="en-US" w:bidi="ar"/>
              </w:rPr>
            </w:pPr>
            <w:r>
              <w:rPr>
                <w:rFonts w:hint="eastAsia" w:ascii="仿宋_GB2312" w:hAnsi="仿宋_GB2312" w:eastAsia="仿宋_GB2312" w:cs="仿宋_GB2312"/>
                <w:i w:val="0"/>
                <w:iCs w:val="0"/>
                <w:kern w:val="2"/>
                <w:sz w:val="21"/>
                <w:szCs w:val="21"/>
                <w:u w:val="none"/>
                <w:lang w:val="en-US" w:eastAsia="zh-CN" w:bidi="ar"/>
              </w:rPr>
              <w:t>20</w:t>
            </w:r>
          </w:p>
        </w:tc>
        <w:tc>
          <w:tcPr>
            <w:tcW w:w="1366"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杨西大道西片区</w:t>
            </w:r>
          </w:p>
        </w:tc>
        <w:tc>
          <w:tcPr>
            <w:tcW w:w="881"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val="en-US" w:bidi="ar"/>
              </w:rPr>
            </w:pPr>
            <w:r>
              <w:rPr>
                <w:rFonts w:hint="eastAsia" w:ascii="仿宋_GB2312" w:hAnsi="仿宋_GB2312" w:eastAsia="仿宋_GB2312" w:cs="仿宋_GB2312"/>
                <w:i w:val="0"/>
                <w:iCs w:val="0"/>
                <w:kern w:val="2"/>
                <w:sz w:val="21"/>
                <w:szCs w:val="21"/>
                <w:u w:val="none"/>
                <w:lang w:val="en-US" w:eastAsia="zh-CN" w:bidi="ar"/>
              </w:rPr>
              <w:t>3.2860</w:t>
            </w:r>
          </w:p>
        </w:tc>
        <w:tc>
          <w:tcPr>
            <w:tcW w:w="1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1.3147</w:t>
            </w:r>
          </w:p>
        </w:tc>
        <w:tc>
          <w:tcPr>
            <w:tcW w:w="100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72" w:hRule="atLeast"/>
        </w:trPr>
        <w:tc>
          <w:tcPr>
            <w:tcW w:w="633"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val="en-US" w:bidi="ar"/>
              </w:rPr>
            </w:pPr>
            <w:r>
              <w:rPr>
                <w:rFonts w:hint="eastAsia" w:ascii="仿宋_GB2312" w:hAnsi="仿宋_GB2312" w:eastAsia="仿宋_GB2312" w:cs="仿宋_GB2312"/>
                <w:i w:val="0"/>
                <w:iCs w:val="0"/>
                <w:kern w:val="2"/>
                <w:sz w:val="21"/>
                <w:szCs w:val="21"/>
                <w:u w:val="none"/>
                <w:lang w:val="en-US" w:eastAsia="zh-CN" w:bidi="ar"/>
              </w:rPr>
              <w:t>21</w:t>
            </w:r>
          </w:p>
        </w:tc>
        <w:tc>
          <w:tcPr>
            <w:tcW w:w="1366"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横二路南片区</w:t>
            </w:r>
          </w:p>
        </w:tc>
        <w:tc>
          <w:tcPr>
            <w:tcW w:w="881"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26.4309</w:t>
            </w:r>
          </w:p>
        </w:tc>
        <w:tc>
          <w:tcPr>
            <w:tcW w:w="1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b w:val="0"/>
                <w:bCs w:val="0"/>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10.8318</w:t>
            </w:r>
          </w:p>
        </w:tc>
        <w:tc>
          <w:tcPr>
            <w:tcW w:w="100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72" w:hRule="atLeast"/>
        </w:trPr>
        <w:tc>
          <w:tcPr>
            <w:tcW w:w="633"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22</w:t>
            </w:r>
          </w:p>
        </w:tc>
        <w:tc>
          <w:tcPr>
            <w:tcW w:w="1366"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石竹路北片区</w:t>
            </w:r>
          </w:p>
        </w:tc>
        <w:tc>
          <w:tcPr>
            <w:tcW w:w="881"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4.8720</w:t>
            </w:r>
          </w:p>
        </w:tc>
        <w:tc>
          <w:tcPr>
            <w:tcW w:w="1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val="en-US" w:bidi="ar"/>
              </w:rPr>
            </w:pPr>
            <w:r>
              <w:rPr>
                <w:rFonts w:hint="eastAsia" w:ascii="仿宋_GB2312" w:hAnsi="仿宋_GB2312" w:eastAsia="仿宋_GB2312" w:cs="仿宋_GB2312"/>
                <w:i w:val="0"/>
                <w:iCs w:val="0"/>
                <w:kern w:val="2"/>
                <w:sz w:val="21"/>
                <w:szCs w:val="21"/>
                <w:u w:val="none"/>
                <w:lang w:val="en-US" w:eastAsia="zh-CN" w:bidi="ar"/>
              </w:rPr>
              <w:t>1.9489</w:t>
            </w:r>
          </w:p>
        </w:tc>
        <w:tc>
          <w:tcPr>
            <w:tcW w:w="100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72" w:hRule="atLeast"/>
        </w:trPr>
        <w:tc>
          <w:tcPr>
            <w:tcW w:w="633"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23</w:t>
            </w:r>
          </w:p>
        </w:tc>
        <w:tc>
          <w:tcPr>
            <w:tcW w:w="1366"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九江酒厂片区</w:t>
            </w:r>
          </w:p>
        </w:tc>
        <w:tc>
          <w:tcPr>
            <w:tcW w:w="881"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val="en-US" w:bidi="ar"/>
              </w:rPr>
            </w:pPr>
            <w:r>
              <w:rPr>
                <w:rFonts w:hint="eastAsia" w:ascii="仿宋_GB2312" w:hAnsi="仿宋_GB2312" w:eastAsia="仿宋_GB2312" w:cs="仿宋_GB2312"/>
                <w:i w:val="0"/>
                <w:iCs w:val="0"/>
                <w:kern w:val="2"/>
                <w:sz w:val="21"/>
                <w:szCs w:val="21"/>
                <w:u w:val="none"/>
                <w:lang w:val="en-US" w:eastAsia="zh-CN" w:bidi="ar"/>
              </w:rPr>
              <w:t>39.2620</w:t>
            </w:r>
          </w:p>
        </w:tc>
        <w:tc>
          <w:tcPr>
            <w:tcW w:w="1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val="en-US" w:bidi="ar"/>
              </w:rPr>
            </w:pPr>
            <w:r>
              <w:rPr>
                <w:rFonts w:hint="eastAsia" w:ascii="仿宋_GB2312" w:hAnsi="仿宋_GB2312" w:eastAsia="仿宋_GB2312" w:cs="仿宋_GB2312"/>
                <w:i w:val="0"/>
                <w:iCs w:val="0"/>
                <w:kern w:val="2"/>
                <w:sz w:val="21"/>
                <w:szCs w:val="21"/>
                <w:u w:val="none"/>
                <w:lang w:val="en-US" w:eastAsia="zh-CN" w:bidi="ar"/>
              </w:rPr>
              <w:t>15.7049</w:t>
            </w:r>
          </w:p>
        </w:tc>
        <w:tc>
          <w:tcPr>
            <w:tcW w:w="100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72" w:hRule="atLeast"/>
        </w:trPr>
        <w:tc>
          <w:tcPr>
            <w:tcW w:w="633" w:type="pct"/>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24</w:t>
            </w:r>
          </w:p>
        </w:tc>
        <w:tc>
          <w:tcPr>
            <w:tcW w:w="1366"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仙峰路东片区</w:t>
            </w:r>
          </w:p>
        </w:tc>
        <w:tc>
          <w:tcPr>
            <w:tcW w:w="88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8.2490</w:t>
            </w:r>
          </w:p>
        </w:tc>
        <w:tc>
          <w:tcPr>
            <w:tcW w:w="1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3.2992</w:t>
            </w:r>
          </w:p>
        </w:tc>
        <w:tc>
          <w:tcPr>
            <w:tcW w:w="100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72" w:hRule="atLeast"/>
        </w:trPr>
        <w:tc>
          <w:tcPr>
            <w:tcW w:w="633" w:type="pct"/>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val="en-US" w:bidi="ar"/>
              </w:rPr>
            </w:pPr>
            <w:r>
              <w:rPr>
                <w:rFonts w:hint="eastAsia" w:ascii="仿宋_GB2312" w:hAnsi="仿宋_GB2312" w:eastAsia="仿宋_GB2312" w:cs="仿宋_GB2312"/>
                <w:i w:val="0"/>
                <w:iCs w:val="0"/>
                <w:kern w:val="2"/>
                <w:sz w:val="21"/>
                <w:szCs w:val="21"/>
                <w:u w:val="none"/>
                <w:lang w:val="en-US" w:eastAsia="zh-CN" w:bidi="ar"/>
              </w:rPr>
              <w:t>25</w:t>
            </w:r>
          </w:p>
        </w:tc>
        <w:tc>
          <w:tcPr>
            <w:tcW w:w="1366"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仙峰路北片区</w:t>
            </w:r>
          </w:p>
        </w:tc>
        <w:tc>
          <w:tcPr>
            <w:tcW w:w="88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0.3631</w:t>
            </w:r>
          </w:p>
        </w:tc>
        <w:tc>
          <w:tcPr>
            <w:tcW w:w="1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0.1664</w:t>
            </w:r>
          </w:p>
        </w:tc>
        <w:tc>
          <w:tcPr>
            <w:tcW w:w="100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45.83%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72" w:hRule="atLeast"/>
        </w:trPr>
        <w:tc>
          <w:tcPr>
            <w:tcW w:w="633" w:type="pct"/>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val="en-US" w:bidi="ar"/>
              </w:rPr>
            </w:pPr>
            <w:r>
              <w:rPr>
                <w:rFonts w:hint="eastAsia" w:ascii="仿宋_GB2312" w:hAnsi="仿宋_GB2312" w:eastAsia="仿宋_GB2312" w:cs="仿宋_GB2312"/>
                <w:i w:val="0"/>
                <w:iCs w:val="0"/>
                <w:kern w:val="2"/>
                <w:sz w:val="21"/>
                <w:szCs w:val="21"/>
                <w:u w:val="none"/>
                <w:lang w:val="en-US" w:eastAsia="zh-CN" w:bidi="ar"/>
              </w:rPr>
              <w:t>26</w:t>
            </w:r>
          </w:p>
        </w:tc>
        <w:tc>
          <w:tcPr>
            <w:tcW w:w="1366"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城七路片区</w:t>
            </w:r>
          </w:p>
        </w:tc>
        <w:tc>
          <w:tcPr>
            <w:tcW w:w="88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16.6057</w:t>
            </w:r>
          </w:p>
        </w:tc>
        <w:tc>
          <w:tcPr>
            <w:tcW w:w="1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6.6415</w:t>
            </w:r>
          </w:p>
        </w:tc>
        <w:tc>
          <w:tcPr>
            <w:tcW w:w="100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72" w:hRule="atLeast"/>
        </w:trPr>
        <w:tc>
          <w:tcPr>
            <w:tcW w:w="633" w:type="pct"/>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val="en-US" w:bidi="ar"/>
              </w:rPr>
            </w:pPr>
            <w:r>
              <w:rPr>
                <w:rFonts w:hint="eastAsia" w:ascii="仿宋_GB2312" w:hAnsi="仿宋_GB2312" w:eastAsia="仿宋_GB2312" w:cs="仿宋_GB2312"/>
                <w:i w:val="0"/>
                <w:iCs w:val="0"/>
                <w:kern w:val="2"/>
                <w:sz w:val="21"/>
                <w:szCs w:val="21"/>
                <w:u w:val="none"/>
                <w:lang w:val="en-US" w:eastAsia="zh-CN" w:bidi="ar"/>
              </w:rPr>
              <w:t>27</w:t>
            </w:r>
          </w:p>
        </w:tc>
        <w:tc>
          <w:tcPr>
            <w:tcW w:w="1366" w:type="pct"/>
            <w:shd w:val="clear" w:color="auto" w:fill="auto"/>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小洞工业园片区</w:t>
            </w:r>
          </w:p>
        </w:tc>
        <w:tc>
          <w:tcPr>
            <w:tcW w:w="881"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val="en-US" w:bidi="ar"/>
              </w:rPr>
            </w:pPr>
            <w:r>
              <w:rPr>
                <w:rFonts w:hint="eastAsia" w:ascii="仿宋_GB2312" w:hAnsi="仿宋_GB2312" w:eastAsia="仿宋_GB2312" w:cs="仿宋_GB2312"/>
                <w:i w:val="0"/>
                <w:iCs w:val="0"/>
                <w:kern w:val="2"/>
                <w:sz w:val="21"/>
                <w:szCs w:val="21"/>
                <w:u w:val="none"/>
                <w:lang w:val="en-US" w:eastAsia="zh-CN" w:bidi="ar"/>
              </w:rPr>
              <w:t>80.9204</w:t>
            </w:r>
          </w:p>
        </w:tc>
        <w:tc>
          <w:tcPr>
            <w:tcW w:w="1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b w:val="0"/>
                <w:bCs w:val="0"/>
                <w:i w:val="0"/>
                <w:iCs w:val="0"/>
                <w:sz w:val="21"/>
                <w:szCs w:val="21"/>
                <w:u w:val="none"/>
                <w:lang w:val="en-US" w:bidi="ar"/>
              </w:rPr>
            </w:pPr>
            <w:r>
              <w:rPr>
                <w:rFonts w:hint="eastAsia" w:ascii="仿宋_GB2312" w:hAnsi="仿宋_GB2312" w:eastAsia="仿宋_GB2312" w:cs="仿宋_GB2312"/>
                <w:i w:val="0"/>
                <w:iCs w:val="0"/>
                <w:kern w:val="2"/>
                <w:sz w:val="21"/>
                <w:szCs w:val="21"/>
                <w:u w:val="none"/>
                <w:lang w:val="en-US" w:eastAsia="zh-CN" w:bidi="ar"/>
              </w:rPr>
              <w:t>33.2285</w:t>
            </w:r>
          </w:p>
        </w:tc>
        <w:tc>
          <w:tcPr>
            <w:tcW w:w="100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41.06%</w:t>
            </w:r>
          </w:p>
        </w:tc>
      </w:tr>
    </w:tbl>
    <w:p>
      <w:pPr>
        <w:pStyle w:val="9"/>
        <w:spacing w:before="120" w:after="120" w:line="360" w:lineRule="auto"/>
        <w:ind w:firstLine="0" w:firstLineChars="0"/>
        <w:outlineLvl w:val="0"/>
        <w:rPr>
          <w:rFonts w:hint="default" w:ascii="黑体" w:hAnsi="黑体" w:eastAsia="黑体" w:cs="黑体"/>
          <w:sz w:val="36"/>
          <w:szCs w:val="36"/>
          <w:lang w:val="en-US" w:eastAsia="zh-CN"/>
        </w:rPr>
      </w:pPr>
      <w:r>
        <w:rPr>
          <w:rFonts w:hint="eastAsia" w:ascii="黑体" w:hAnsi="黑体" w:eastAsia="黑体" w:cs="黑体"/>
          <w:sz w:val="36"/>
          <w:szCs w:val="36"/>
          <w:lang w:val="en-US" w:eastAsia="zh-CN"/>
        </w:rPr>
        <w:t>六</w:t>
      </w:r>
      <w:r>
        <w:rPr>
          <w:rFonts w:hint="eastAsia" w:ascii="黑体" w:hAnsi="黑体" w:eastAsia="黑体" w:cs="黑体"/>
          <w:sz w:val="36"/>
          <w:szCs w:val="36"/>
        </w:rPr>
        <w:t>、</w:t>
      </w:r>
      <w:r>
        <w:rPr>
          <w:rFonts w:hint="eastAsia" w:ascii="黑体" w:hAnsi="黑体" w:eastAsia="黑体" w:cs="黑体"/>
          <w:sz w:val="36"/>
          <w:szCs w:val="36"/>
          <w:lang w:val="en-US" w:eastAsia="zh-CN"/>
        </w:rPr>
        <w:t>规划符合情况</w:t>
      </w:r>
    </w:p>
    <w:p>
      <w:pPr>
        <w:pStyle w:val="9"/>
        <w:spacing w:before="0" w:after="0" w:line="560" w:lineRule="exact"/>
        <w:ind w:firstLine="640" w:firstLineChars="200"/>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i w:val="0"/>
          <w:iCs w:val="0"/>
          <w:caps w:val="0"/>
          <w:spacing w:val="0"/>
          <w:sz w:val="32"/>
          <w:szCs w:val="32"/>
          <w:shd w:val="clear"/>
        </w:rPr>
        <w:t>本方案符合国民经济和社会发展规划的发展定位、要求，有利于完成规划目标、任务，拟纳入国民经济和社会发展年度计划。成片开发范围纳入在编的国土空间规划的城镇开发边界集中建设区，确保实施土地征收成片开发范围内用地符合《土地管理法》第四十五条第一款第（五）项的规定。成片开发区域范围不涉及永久基本农田、生态保护红线</w:t>
      </w:r>
      <w:r>
        <w:rPr>
          <w:rFonts w:hint="eastAsia" w:ascii="仿宋_GB2312" w:hAnsi="仿宋_GB2312" w:eastAsia="仿宋_GB2312" w:cs="仿宋_GB2312"/>
          <w:i w:val="0"/>
          <w:iCs w:val="0"/>
          <w:caps w:val="0"/>
          <w:spacing w:val="0"/>
          <w:sz w:val="32"/>
          <w:szCs w:val="32"/>
          <w:shd w:val="clear"/>
          <w:lang w:eastAsia="zh-CN"/>
        </w:rPr>
        <w:t>，</w:t>
      </w:r>
      <w:r>
        <w:rPr>
          <w:rFonts w:hint="eastAsia" w:ascii="仿宋_GB2312" w:hAnsi="仿宋_GB2312" w:eastAsia="仿宋_GB2312" w:cs="仿宋_GB2312"/>
          <w:i w:val="0"/>
          <w:iCs w:val="0"/>
          <w:caps w:val="0"/>
          <w:spacing w:val="0"/>
          <w:sz w:val="32"/>
          <w:szCs w:val="32"/>
          <w:shd w:val="clear"/>
          <w:lang w:val="en-US" w:eastAsia="zh-CN"/>
        </w:rPr>
        <w:t>符合相关要求</w:t>
      </w:r>
      <w:r>
        <w:rPr>
          <w:rFonts w:hint="eastAsia" w:ascii="仿宋_GB2312" w:hAnsi="仿宋_GB2312" w:eastAsia="仿宋_GB2312" w:cs="仿宋_GB2312"/>
          <w:i w:val="0"/>
          <w:iCs w:val="0"/>
          <w:caps w:val="0"/>
          <w:spacing w:val="0"/>
          <w:sz w:val="32"/>
          <w:szCs w:val="32"/>
          <w:shd w:val="clear"/>
        </w:rPr>
        <w:t>。</w:t>
      </w:r>
    </w:p>
    <w:p>
      <w:pPr>
        <w:pStyle w:val="9"/>
        <w:spacing w:before="120" w:after="120" w:line="360" w:lineRule="auto"/>
        <w:ind w:firstLine="0" w:firstLineChars="0"/>
        <w:outlineLvl w:val="0"/>
        <w:rPr>
          <w:rFonts w:hint="default" w:ascii="黑体" w:hAnsi="黑体" w:eastAsia="黑体" w:cs="黑体"/>
          <w:sz w:val="36"/>
          <w:szCs w:val="36"/>
          <w:lang w:val="en-US" w:eastAsia="zh-CN"/>
        </w:rPr>
      </w:pPr>
      <w:r>
        <w:rPr>
          <w:rFonts w:hint="eastAsia" w:ascii="黑体" w:hAnsi="黑体" w:eastAsia="黑体" w:cs="黑体"/>
          <w:sz w:val="36"/>
          <w:szCs w:val="36"/>
          <w:lang w:val="en-US" w:eastAsia="zh-CN"/>
        </w:rPr>
        <w:t>七</w:t>
      </w:r>
      <w:r>
        <w:rPr>
          <w:rFonts w:hint="eastAsia" w:ascii="黑体" w:hAnsi="黑体" w:eastAsia="黑体" w:cs="黑体"/>
          <w:sz w:val="36"/>
          <w:szCs w:val="36"/>
        </w:rPr>
        <w:t>、</w:t>
      </w:r>
      <w:r>
        <w:rPr>
          <w:rFonts w:hint="eastAsia" w:ascii="Calibri" w:hAnsi="Calibri" w:eastAsia="黑体" w:cs="楷体"/>
          <w:bCs/>
          <w:kern w:val="44"/>
          <w:sz w:val="36"/>
          <w:szCs w:val="44"/>
        </w:rPr>
        <w:t>拟安排的建设项目</w:t>
      </w:r>
      <w:r>
        <w:rPr>
          <w:rFonts w:hint="eastAsia" w:ascii="Calibri" w:hAnsi="Calibri" w:eastAsia="黑体" w:cs="楷体"/>
          <w:bCs/>
          <w:kern w:val="44"/>
          <w:sz w:val="36"/>
          <w:szCs w:val="44"/>
          <w:lang w:val="en-US" w:eastAsia="zh-CN"/>
        </w:rPr>
        <w:t>及</w:t>
      </w:r>
      <w:r>
        <w:rPr>
          <w:rFonts w:hint="eastAsia" w:ascii="Calibri" w:hAnsi="Calibri" w:eastAsia="黑体" w:cs="楷体"/>
          <w:bCs/>
          <w:kern w:val="44"/>
          <w:sz w:val="36"/>
          <w:szCs w:val="44"/>
        </w:rPr>
        <w:t>实施计划</w:t>
      </w:r>
    </w:p>
    <w:p>
      <w:pPr>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本方案</w:t>
      </w:r>
      <w:r>
        <w:rPr>
          <w:rFonts w:hint="eastAsia" w:ascii="仿宋_GB2312" w:hAnsi="仿宋_GB2312" w:eastAsia="仿宋_GB2312" w:cs="仿宋_GB2312"/>
          <w:sz w:val="32"/>
          <w:szCs w:val="32"/>
          <w:lang w:val="en-US" w:eastAsia="zh-CN"/>
        </w:rPr>
        <w:t>拟安排项目面积257.8326公顷，安排于2022年-2024年度实施。</w:t>
      </w:r>
    </w:p>
    <w:p>
      <w:pPr>
        <w:pStyle w:val="9"/>
        <w:spacing w:line="360" w:lineRule="auto"/>
        <w:ind w:firstLine="482"/>
        <w:jc w:val="center"/>
        <w:rPr>
          <w:rFonts w:hint="eastAsia" w:ascii="仿宋_GB2312" w:hAnsi="仿宋_GB2312" w:eastAsia="仿宋_GB2312" w:cs="仿宋_GB2312"/>
          <w:b/>
          <w:bCs/>
          <w:sz w:val="28"/>
          <w:szCs w:val="28"/>
          <w:lang w:val="en-US" w:eastAsia="zh-CN"/>
        </w:rPr>
      </w:pPr>
      <w:bookmarkStart w:id="3" w:name="_Toc69918969"/>
      <w:bookmarkStart w:id="4" w:name="_Toc69918875"/>
      <w:bookmarkStart w:id="5" w:name="_Toc71553653"/>
      <w:r>
        <w:rPr>
          <w:rFonts w:hint="eastAsia" w:ascii="仿宋_GB2312" w:hAnsi="仿宋_GB2312" w:eastAsia="仿宋_GB2312" w:cs="仿宋_GB2312"/>
          <w:b/>
          <w:bCs/>
          <w:sz w:val="28"/>
          <w:szCs w:val="28"/>
        </w:rPr>
        <w:t>表</w:t>
      </w:r>
      <w:r>
        <w:rPr>
          <w:rFonts w:hint="eastAsia" w:ascii="仿宋_GB2312" w:hAnsi="仿宋_GB2312" w:eastAsia="仿宋_GB2312" w:cs="仿宋_GB2312"/>
          <w:b/>
          <w:bCs/>
          <w:sz w:val="28"/>
          <w:szCs w:val="28"/>
          <w:lang w:val="en-US" w:eastAsia="zh-CN"/>
        </w:rPr>
        <w:t>6-1 拟安排项目一览表</w:t>
      </w:r>
    </w:p>
    <w:bookmarkEnd w:id="3"/>
    <w:bookmarkEnd w:id="4"/>
    <w:bookmarkEnd w:id="5"/>
    <w:tbl>
      <w:tblPr>
        <w:tblStyle w:val="17"/>
        <w:tblW w:w="5204"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50"/>
        <w:gridCol w:w="1518"/>
        <w:gridCol w:w="2063"/>
        <w:gridCol w:w="1163"/>
        <w:gridCol w:w="1412"/>
        <w:gridCol w:w="14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blHeader/>
        </w:trPr>
        <w:tc>
          <w:tcPr>
            <w:tcW w:w="704" w:type="pct"/>
            <w:vMerge w:val="restart"/>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b/>
                <w:bCs/>
                <w:i w:val="0"/>
                <w:iCs w:val="0"/>
                <w:sz w:val="21"/>
                <w:szCs w:val="21"/>
                <w:u w:val="none"/>
                <w:lang w:bidi="ar"/>
              </w:rPr>
            </w:pPr>
            <w:bookmarkStart w:id="6" w:name="_Toc24523"/>
            <w:r>
              <w:rPr>
                <w:rFonts w:hint="eastAsia" w:ascii="仿宋_GB2312" w:hAnsi="仿宋_GB2312" w:eastAsia="仿宋_GB2312" w:cs="仿宋_GB2312"/>
                <w:b/>
                <w:bCs/>
                <w:i w:val="0"/>
                <w:iCs w:val="0"/>
                <w:kern w:val="2"/>
                <w:sz w:val="21"/>
                <w:szCs w:val="21"/>
                <w:u w:val="none"/>
                <w:lang w:val="en-US" w:eastAsia="zh-CN" w:bidi="ar"/>
              </w:rPr>
              <w:t>镇街名称</w:t>
            </w:r>
          </w:p>
        </w:tc>
        <w:tc>
          <w:tcPr>
            <w:tcW w:w="855" w:type="pct"/>
            <w:vMerge w:val="restart"/>
            <w:tcBorders>
              <w:top w:val="single" w:color="000000" w:sz="8" w:space="0"/>
              <w:left w:val="nil"/>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b/>
                <w:bCs/>
                <w:i w:val="0"/>
                <w:iCs w:val="0"/>
                <w:sz w:val="21"/>
                <w:szCs w:val="21"/>
                <w:u w:val="none"/>
                <w:lang w:bidi="ar"/>
              </w:rPr>
            </w:pPr>
            <w:r>
              <w:rPr>
                <w:rFonts w:hint="eastAsia" w:ascii="仿宋_GB2312" w:hAnsi="仿宋_GB2312" w:eastAsia="仿宋_GB2312" w:cs="仿宋_GB2312"/>
                <w:b/>
                <w:bCs/>
                <w:i w:val="0"/>
                <w:iCs w:val="0"/>
                <w:kern w:val="2"/>
                <w:sz w:val="21"/>
                <w:szCs w:val="21"/>
                <w:u w:val="none"/>
                <w:lang w:val="en-US" w:eastAsia="zh-CN" w:bidi="ar"/>
              </w:rPr>
              <w:t>所在片区</w:t>
            </w:r>
          </w:p>
        </w:tc>
        <w:tc>
          <w:tcPr>
            <w:tcW w:w="1162" w:type="pct"/>
            <w:vMerge w:val="restart"/>
            <w:tcBorders>
              <w:top w:val="single" w:color="000000" w:sz="8" w:space="0"/>
              <w:left w:val="nil"/>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b/>
                <w:bCs/>
                <w:i w:val="0"/>
                <w:iCs w:val="0"/>
                <w:sz w:val="21"/>
                <w:szCs w:val="21"/>
                <w:u w:val="none"/>
                <w:lang w:bidi="ar"/>
              </w:rPr>
            </w:pPr>
            <w:r>
              <w:rPr>
                <w:rFonts w:hint="eastAsia" w:ascii="仿宋_GB2312" w:hAnsi="仿宋_GB2312" w:eastAsia="仿宋_GB2312" w:cs="仿宋_GB2312"/>
                <w:b/>
                <w:bCs/>
                <w:i w:val="0"/>
                <w:iCs w:val="0"/>
                <w:kern w:val="2"/>
                <w:sz w:val="21"/>
                <w:szCs w:val="21"/>
                <w:u w:val="none"/>
                <w:lang w:val="en-US" w:eastAsia="zh-CN" w:bidi="ar"/>
              </w:rPr>
              <w:t>项目名称</w:t>
            </w:r>
          </w:p>
        </w:tc>
        <w:tc>
          <w:tcPr>
            <w:tcW w:w="655" w:type="pct"/>
            <w:vMerge w:val="restart"/>
            <w:tcBorders>
              <w:top w:val="single" w:color="000000" w:sz="8" w:space="0"/>
              <w:left w:val="nil"/>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b/>
                <w:bCs/>
                <w:i w:val="0"/>
                <w:iCs w:val="0"/>
                <w:sz w:val="21"/>
                <w:szCs w:val="21"/>
                <w:u w:val="none"/>
                <w:lang w:bidi="ar"/>
              </w:rPr>
            </w:pPr>
            <w:r>
              <w:rPr>
                <w:rFonts w:hint="eastAsia" w:ascii="仿宋_GB2312" w:hAnsi="仿宋_GB2312" w:eastAsia="仿宋_GB2312" w:cs="仿宋_GB2312"/>
                <w:b/>
                <w:bCs/>
                <w:i w:val="0"/>
                <w:iCs w:val="0"/>
                <w:kern w:val="2"/>
                <w:sz w:val="21"/>
                <w:szCs w:val="21"/>
                <w:u w:val="none"/>
                <w:lang w:val="en-US" w:eastAsia="zh-CN" w:bidi="ar"/>
              </w:rPr>
              <w:t>开发时序</w:t>
            </w:r>
          </w:p>
        </w:tc>
        <w:tc>
          <w:tcPr>
            <w:tcW w:w="795" w:type="pct"/>
            <w:vMerge w:val="restart"/>
            <w:tcBorders>
              <w:top w:val="single" w:color="000000" w:sz="8" w:space="0"/>
              <w:left w:val="nil"/>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b/>
                <w:bCs/>
                <w:i w:val="0"/>
                <w:iCs w:val="0"/>
                <w:sz w:val="21"/>
                <w:szCs w:val="21"/>
                <w:u w:val="none"/>
                <w:lang w:bidi="ar"/>
              </w:rPr>
            </w:pPr>
            <w:r>
              <w:rPr>
                <w:rFonts w:hint="eastAsia" w:ascii="仿宋_GB2312" w:hAnsi="仿宋_GB2312" w:eastAsia="仿宋_GB2312" w:cs="仿宋_GB2312"/>
                <w:b/>
                <w:bCs/>
                <w:i w:val="0"/>
                <w:iCs w:val="0"/>
                <w:kern w:val="2"/>
                <w:sz w:val="21"/>
                <w:szCs w:val="21"/>
                <w:u w:val="none"/>
                <w:lang w:val="en-US" w:eastAsia="zh-CN" w:bidi="ar"/>
              </w:rPr>
              <w:t>主要开发用途</w:t>
            </w:r>
          </w:p>
        </w:tc>
        <w:tc>
          <w:tcPr>
            <w:tcW w:w="828" w:type="pct"/>
            <w:tcBorders>
              <w:top w:val="single" w:color="000000" w:sz="8" w:space="0"/>
              <w:left w:val="nil"/>
              <w:bottom w:val="nil"/>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b/>
                <w:bCs/>
                <w:i w:val="0"/>
                <w:iCs w:val="0"/>
                <w:sz w:val="21"/>
                <w:szCs w:val="21"/>
                <w:u w:val="none"/>
                <w:lang w:bidi="ar"/>
              </w:rPr>
            </w:pPr>
            <w:r>
              <w:rPr>
                <w:rFonts w:hint="eastAsia" w:ascii="仿宋_GB2312" w:hAnsi="仿宋_GB2312" w:eastAsia="仿宋_GB2312" w:cs="仿宋_GB2312"/>
                <w:b/>
                <w:bCs/>
                <w:i w:val="0"/>
                <w:iCs w:val="0"/>
                <w:kern w:val="2"/>
                <w:sz w:val="21"/>
                <w:szCs w:val="21"/>
                <w:u w:val="none"/>
                <w:lang w:val="en-US" w:eastAsia="zh-CN" w:bidi="ar"/>
              </w:rPr>
              <w:t>面积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blHeader/>
        </w:trPr>
        <w:tc>
          <w:tcPr>
            <w:tcW w:w="704" w:type="pct"/>
            <w:vMerge w:val="continue"/>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b/>
                <w:bCs/>
                <w:i w:val="0"/>
                <w:iCs w:val="0"/>
                <w:kern w:val="2"/>
                <w:sz w:val="21"/>
                <w:szCs w:val="21"/>
                <w:u w:val="none"/>
                <w:lang w:val="en-US" w:eastAsia="zh-CN" w:bidi="ar"/>
              </w:rPr>
            </w:pPr>
          </w:p>
        </w:tc>
        <w:tc>
          <w:tcPr>
            <w:tcW w:w="855" w:type="pct"/>
            <w:vMerge w:val="continue"/>
            <w:tcBorders>
              <w:top w:val="single" w:color="000000" w:sz="8" w:space="0"/>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b/>
                <w:bCs/>
                <w:i w:val="0"/>
                <w:iCs w:val="0"/>
                <w:kern w:val="2"/>
                <w:sz w:val="21"/>
                <w:szCs w:val="21"/>
                <w:u w:val="none"/>
                <w:lang w:val="en-US" w:eastAsia="zh-CN" w:bidi="ar"/>
              </w:rPr>
            </w:pPr>
          </w:p>
        </w:tc>
        <w:tc>
          <w:tcPr>
            <w:tcW w:w="1162" w:type="pct"/>
            <w:vMerge w:val="continue"/>
            <w:tcBorders>
              <w:top w:val="single" w:color="000000" w:sz="8" w:space="0"/>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b/>
                <w:bCs/>
                <w:i w:val="0"/>
                <w:iCs w:val="0"/>
                <w:kern w:val="2"/>
                <w:sz w:val="21"/>
                <w:szCs w:val="21"/>
                <w:u w:val="none"/>
                <w:lang w:val="en-US" w:eastAsia="zh-CN" w:bidi="ar"/>
              </w:rPr>
            </w:pPr>
          </w:p>
        </w:tc>
        <w:tc>
          <w:tcPr>
            <w:tcW w:w="655" w:type="pct"/>
            <w:vMerge w:val="continue"/>
            <w:tcBorders>
              <w:top w:val="single" w:color="000000" w:sz="8" w:space="0"/>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b/>
                <w:bCs/>
                <w:i w:val="0"/>
                <w:iCs w:val="0"/>
                <w:kern w:val="2"/>
                <w:sz w:val="21"/>
                <w:szCs w:val="21"/>
                <w:u w:val="none"/>
                <w:lang w:val="en-US" w:eastAsia="zh-CN" w:bidi="ar"/>
              </w:rPr>
            </w:pPr>
          </w:p>
        </w:tc>
        <w:tc>
          <w:tcPr>
            <w:tcW w:w="795" w:type="pct"/>
            <w:vMerge w:val="continue"/>
            <w:tcBorders>
              <w:top w:val="single" w:color="000000" w:sz="8" w:space="0"/>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b/>
                <w:bCs/>
                <w:i w:val="0"/>
                <w:iCs w:val="0"/>
                <w:kern w:val="2"/>
                <w:sz w:val="21"/>
                <w:szCs w:val="21"/>
                <w:u w:val="none"/>
                <w:lang w:val="en-US" w:eastAsia="zh-CN" w:bidi="ar"/>
              </w:rPr>
            </w:pP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b/>
                <w:bCs/>
                <w:i w:val="0"/>
                <w:iCs w:val="0"/>
                <w:sz w:val="21"/>
                <w:szCs w:val="21"/>
                <w:u w:val="none"/>
                <w:lang w:bidi="ar"/>
              </w:rPr>
            </w:pPr>
            <w:r>
              <w:rPr>
                <w:rFonts w:hint="eastAsia" w:ascii="仿宋_GB2312" w:hAnsi="仿宋_GB2312" w:eastAsia="仿宋_GB2312" w:cs="仿宋_GB2312"/>
                <w:b/>
                <w:bCs/>
                <w:i w:val="0"/>
                <w:iCs w:val="0"/>
                <w:kern w:val="2"/>
                <w:sz w:val="21"/>
                <w:szCs w:val="21"/>
                <w:u w:val="none"/>
                <w:lang w:val="en-US" w:eastAsia="zh-CN" w:bidi="ar"/>
              </w:rPr>
              <w:t>（公顷）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restar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荷城街道</w:t>
            </w:r>
          </w:p>
        </w:tc>
        <w:tc>
          <w:tcPr>
            <w:tcW w:w="85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荷富路东片区</w:t>
            </w: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商业服务项目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2023年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商业用地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restar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电力智造园片区</w:t>
            </w: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品龙精工科技项目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2.1746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产业开发项目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0.5567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产业开发项目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0.8958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耐锐机械项目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4.4591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奥斯玛智能装备项目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1.8649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产业开发项目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0.3724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restar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照明产业基地片区</w:t>
            </w: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产业开发项目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0.1361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产业开发项目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2024年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1.216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产业开发项目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2023年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1.4424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产业开发项目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2023年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1.3116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产业开发项目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2023年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4.6561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莞佛高速北片区</w:t>
            </w: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产业开发项目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2023年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2.1725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restar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庆洲工业区北片区</w:t>
            </w: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产业开发项目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2023年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2.3185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2020年第十三批次</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2020年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6.1589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2020年第十二批次</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2020年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9.2256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2020年第十四批次</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2020年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20.1925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庆洲工业区南片区</w:t>
            </w: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产业开发项目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2023年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1.2849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高明河北片区</w:t>
            </w: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产业开发项目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2023年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6.2937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文明路西片区</w:t>
            </w: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住宅开发及配套设施项目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2023年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居住用地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0.7389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七星岗公园西片区</w:t>
            </w: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住宅开发及配套设施项目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居住用地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0.176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restar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西江新城</w:t>
            </w:r>
          </w:p>
        </w:tc>
        <w:tc>
          <w:tcPr>
            <w:tcW w:w="85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丽景东路南片区</w:t>
            </w: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商业服务项目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商业用地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1.7459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restar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汇智路片区</w:t>
            </w: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商业服务项目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商业用地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2.527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住宅开发项目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居住用地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1.5047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restar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大德路北片区</w:t>
            </w: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住宅开发项目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居住用地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8.0151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2019年第17批次</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2020年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居住用地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和辉路南片区</w:t>
            </w: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2019年第17批次</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2020年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2.368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三康路北片区</w:t>
            </w: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2019年第17批次</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2020年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3.7072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restar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杨和镇</w:t>
            </w:r>
          </w:p>
        </w:tc>
        <w:tc>
          <w:tcPr>
            <w:tcW w:w="855" w:type="pct"/>
            <w:vMerge w:val="restar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杨西大道北一片区</w:t>
            </w: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佛山市石金工业有限公司二期项目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3.4472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佛山平谦国际（高明）现代产业园项目三期</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1.4253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佛山平谦国际（高明）现代产业园项目三期</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6.0859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佛山平谦国际（高明）现代产业园项目三期</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0.5906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restar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杨西大道北二片区</w:t>
            </w: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佛山平谦国际（高明）现代产业园项目三期</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0.6749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佛山平谦国际（高明）现代产业园项目三期</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2023年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2.6558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2020年度第15批次</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2020年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9.8532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2020年度第15批次</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2020年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4.7936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三和路南片区</w:t>
            </w: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产业开发项目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3.3828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明七路南片区</w:t>
            </w: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加油站</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加油加气站用地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0.5144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restar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对川工业大道北片区</w:t>
            </w: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顺德区莱利达工程设备有限公司</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2023年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0.1196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顺德区莱利达工程设备有限公司</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3.008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顺德区莱利达工程设备有限公司</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2023年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0.9646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杨西大道西片区</w:t>
            </w: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广东科腾幕墙有限公司</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2024年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1.9716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restar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横二路南片区</w:t>
            </w: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天津天海轮毂电机科技有限公司高效智能轮毂电机驱动项目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2024年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2.5622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富华电子</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0.4988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富华电子</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1.4909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富华电子</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2023年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10.4668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产业开发项目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2023年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0.8471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石竹路北片区</w:t>
            </w: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住宅开发及配套设施项目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2024年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居住用地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3.2428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九江酒厂项目片区</w:t>
            </w: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九江酒厂</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23.5571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restar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明城镇</w:t>
            </w:r>
          </w:p>
        </w:tc>
        <w:tc>
          <w:tcPr>
            <w:tcW w:w="855" w:type="pct"/>
            <w:vMerge w:val="restar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仙峰路东片区</w:t>
            </w: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银鹏粮食产销一体加工物流科技园</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1.9324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产业开发项目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0.0221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仙峰路北片区</w:t>
            </w: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银鹏粮食产销一体加工物流科技园</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2.9953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城七路片区</w:t>
            </w: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中旗硅晶材料生产研发基地项目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0.3631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仙峰路东片区</w:t>
            </w: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中旗硅晶材料生产研发基地项目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9.9642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trPr>
        <w:tc>
          <w:tcPr>
            <w:tcW w:w="704" w:type="pct"/>
            <w:vMerge w:val="restar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更合镇</w:t>
            </w:r>
          </w:p>
        </w:tc>
        <w:tc>
          <w:tcPr>
            <w:tcW w:w="855" w:type="pct"/>
            <w:vMerge w:val="restar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小洞工业园片区</w:t>
            </w: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佛山市志沃机械设备有限公司项目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ind w:firstLine="0" w:firstLineChars="0"/>
              <w:jc w:val="center"/>
              <w:textAlignment w:val="auto"/>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10.7427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基础设施项目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城市道路用地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1.7814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2021年第度二批次</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2021年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20.0157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基础设施项目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城市道路用地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1.6015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货拉拉华南互联网服务产业园项目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17.8191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40" w:hRule="atLeast"/>
        </w:trPr>
        <w:tc>
          <w:tcPr>
            <w:tcW w:w="704" w:type="pct"/>
            <w:vMerge w:val="continue"/>
            <w:tcBorders>
              <w:top w:val="nil"/>
              <w:left w:val="single" w:color="000000" w:sz="8" w:space="0"/>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855" w:type="pct"/>
            <w:vMerge w:val="continue"/>
            <w:tcBorders>
              <w:top w:val="nil"/>
              <w:left w:val="nil"/>
              <w:bottom w:val="single" w:color="000000" w:sz="8" w:space="0"/>
              <w:right w:val="single" w:color="000000" w:sz="8" w:space="0"/>
            </w:tcBorders>
            <w:shd w:val="clear" w:color="auto" w:fill="auto"/>
            <w:noWrap/>
            <w:vAlign w:val="center"/>
          </w:tcPr>
          <w:p>
            <w:pPr>
              <w:widowControl w:val="0"/>
              <w:jc w:val="center"/>
              <w:rPr>
                <w:rFonts w:hint="eastAsia" w:ascii="仿宋_GB2312" w:hAnsi="仿宋_GB2312" w:eastAsia="仿宋_GB2312" w:cs="仿宋_GB2312"/>
                <w:i w:val="0"/>
                <w:iCs w:val="0"/>
                <w:kern w:val="2"/>
                <w:sz w:val="21"/>
                <w:szCs w:val="21"/>
                <w:u w:val="none"/>
                <w:lang w:val="en-US" w:eastAsia="zh-CN" w:bidi="ar"/>
              </w:rPr>
            </w:pPr>
          </w:p>
        </w:tc>
        <w:tc>
          <w:tcPr>
            <w:tcW w:w="1162"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佛山市宝尔森机械设备有限公司交直流电机生产项目</w:t>
            </w:r>
          </w:p>
        </w:tc>
        <w:tc>
          <w:tcPr>
            <w:tcW w:w="65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2022年</w:t>
            </w:r>
          </w:p>
        </w:tc>
        <w:tc>
          <w:tcPr>
            <w:tcW w:w="795"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工业用地</w:t>
            </w:r>
          </w:p>
        </w:tc>
        <w:tc>
          <w:tcPr>
            <w:tcW w:w="828" w:type="pct"/>
            <w:tcBorders>
              <w:top w:val="nil"/>
              <w:left w:val="nil"/>
              <w:bottom w:val="single" w:color="000000" w:sz="8" w:space="0"/>
              <w:right w:val="single" w:color="000000" w:sz="8" w:space="0"/>
            </w:tcBorders>
            <w:shd w:val="clear" w:color="auto" w:fill="auto"/>
            <w:noWrap/>
            <w:vAlign w:val="center"/>
          </w:tcPr>
          <w:p>
            <w:pPr>
              <w:keepNext w:val="0"/>
              <w:keepLines w:val="0"/>
              <w:widowControl w:val="0"/>
              <w:suppressLineNumbers w:val="0"/>
              <w:ind w:firstLine="0" w:firstLineChars="0"/>
              <w:jc w:val="center"/>
              <w:textAlignment w:val="center"/>
              <w:rPr>
                <w:rFonts w:hint="eastAsia" w:ascii="仿宋_GB2312" w:hAnsi="仿宋_GB2312" w:eastAsia="仿宋_GB2312" w:cs="仿宋_GB2312"/>
                <w:i w:val="0"/>
                <w:iCs w:val="0"/>
                <w:sz w:val="21"/>
                <w:szCs w:val="21"/>
                <w:u w:val="none"/>
                <w:lang w:bidi="ar"/>
              </w:rPr>
            </w:pPr>
            <w:r>
              <w:rPr>
                <w:rFonts w:hint="eastAsia" w:ascii="仿宋_GB2312" w:hAnsi="仿宋_GB2312" w:eastAsia="仿宋_GB2312" w:cs="仿宋_GB2312"/>
                <w:i w:val="0"/>
                <w:iCs w:val="0"/>
                <w:kern w:val="2"/>
                <w:sz w:val="21"/>
                <w:szCs w:val="21"/>
                <w:u w:val="none"/>
                <w:lang w:val="en-US" w:eastAsia="zh-CN" w:bidi="ar"/>
              </w:rPr>
              <w:t>4.7548</w:t>
            </w:r>
          </w:p>
        </w:tc>
      </w:tr>
    </w:tbl>
    <w:p>
      <w:pPr>
        <w:numPr>
          <w:ilvl w:val="255"/>
          <w:numId w:val="0"/>
        </w:numPr>
        <w:spacing w:before="120" w:after="120" w:line="360" w:lineRule="auto"/>
        <w:outlineLvl w:val="0"/>
        <w:rPr>
          <w:rFonts w:ascii="Calibri" w:hAnsi="Calibri" w:eastAsia="黑体" w:cs="楷体"/>
          <w:bCs/>
          <w:kern w:val="44"/>
          <w:sz w:val="36"/>
          <w:szCs w:val="44"/>
        </w:rPr>
      </w:pPr>
      <w:r>
        <w:rPr>
          <w:rFonts w:hint="eastAsia" w:ascii="Calibri" w:hAnsi="Calibri" w:eastAsia="黑体" w:cs="楷体"/>
          <w:bCs/>
          <w:kern w:val="44"/>
          <w:sz w:val="36"/>
          <w:szCs w:val="44"/>
          <w:lang w:val="en-US" w:eastAsia="zh-CN"/>
        </w:rPr>
        <w:t>八</w:t>
      </w:r>
      <w:r>
        <w:rPr>
          <w:rFonts w:hint="eastAsia" w:ascii="Calibri" w:hAnsi="Calibri" w:eastAsia="黑体" w:cs="楷体"/>
          <w:bCs/>
          <w:kern w:val="44"/>
          <w:sz w:val="36"/>
          <w:szCs w:val="44"/>
        </w:rPr>
        <w:t>、成片开发效益评估</w:t>
      </w:r>
      <w:bookmarkEnd w:id="6"/>
    </w:p>
    <w:p>
      <w:pPr>
        <w:pStyle w:val="4"/>
        <w:numPr>
          <w:ilvl w:val="0"/>
          <w:numId w:val="6"/>
        </w:numPr>
        <w:spacing w:before="120" w:after="120"/>
        <w:ind w:left="561" w:hanging="420"/>
        <w:rPr>
          <w:sz w:val="32"/>
          <w:szCs w:val="36"/>
        </w:rPr>
      </w:pPr>
      <w:bookmarkStart w:id="7" w:name="_Toc6082"/>
      <w:r>
        <w:rPr>
          <w:rFonts w:hint="eastAsia"/>
          <w:sz w:val="32"/>
          <w:szCs w:val="36"/>
        </w:rPr>
        <w:t>土地利用效益</w:t>
      </w:r>
      <w:bookmarkEnd w:id="7"/>
    </w:p>
    <w:p>
      <w:pPr>
        <w:keepNext w:val="0"/>
        <w:keepLines w:val="0"/>
        <w:pageBreakBefore w:val="0"/>
        <w:widowControl/>
        <w:kinsoku/>
        <w:wordWrap/>
        <w:overflowPunct/>
        <w:topLinePunct w:val="0"/>
        <w:autoSpaceDE/>
        <w:autoSpaceDN/>
        <w:bidi w:val="0"/>
        <w:adjustRightInd/>
        <w:snapToGrid/>
        <w:spacing w:line="560" w:lineRule="exact"/>
        <w:ind w:firstLine="64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成片开发片区内规划用地符合《城市居住区规划设计标准（2018）》、《佛山市城市总体规划》、《佛山市城市规划管理技术规定》等相关规范导则要求，做到科学布置建设用地空间布局。</w:t>
      </w:r>
      <w:r>
        <w:rPr>
          <w:rFonts w:hint="eastAsia" w:ascii="仿宋_GB2312" w:hAnsi="仿宋_GB2312" w:eastAsia="仿宋_GB2312" w:cs="仿宋_GB2312"/>
          <w:sz w:val="32"/>
          <w:szCs w:val="32"/>
          <w:lang w:val="en-US" w:eastAsia="zh-CN"/>
        </w:rPr>
        <w:t>成片开发通过</w:t>
      </w:r>
      <w:r>
        <w:rPr>
          <w:rFonts w:hint="eastAsia" w:ascii="仿宋_GB2312" w:hAnsi="仿宋_GB2312" w:eastAsia="仿宋_GB2312" w:cs="仿宋_GB2312"/>
          <w:sz w:val="32"/>
          <w:szCs w:val="32"/>
        </w:rPr>
        <w:t>整合</w:t>
      </w:r>
      <w:r>
        <w:rPr>
          <w:rFonts w:hint="eastAsia" w:ascii="仿宋_GB2312" w:hAnsi="仿宋_GB2312" w:eastAsia="仿宋_GB2312" w:cs="仿宋_GB2312"/>
          <w:sz w:val="32"/>
          <w:szCs w:val="32"/>
          <w:lang w:val="en-US" w:eastAsia="zh-CN"/>
        </w:rPr>
        <w:t>片区</w:t>
      </w:r>
      <w:r>
        <w:rPr>
          <w:rFonts w:hint="eastAsia" w:ascii="仿宋_GB2312" w:hAnsi="仿宋_GB2312" w:eastAsia="仿宋_GB2312" w:cs="仿宋_GB2312"/>
          <w:sz w:val="32"/>
          <w:szCs w:val="32"/>
        </w:rPr>
        <w:t>空间，</w:t>
      </w:r>
      <w:r>
        <w:rPr>
          <w:rFonts w:hint="eastAsia" w:ascii="仿宋_GB2312" w:hAnsi="仿宋_GB2312" w:eastAsia="仿宋_GB2312" w:cs="仿宋_GB2312"/>
          <w:sz w:val="32"/>
          <w:szCs w:val="32"/>
          <w:lang w:val="en-US" w:eastAsia="zh-CN"/>
        </w:rPr>
        <w:t>有效</w:t>
      </w:r>
      <w:r>
        <w:rPr>
          <w:rFonts w:hint="eastAsia" w:ascii="仿宋_GB2312" w:hAnsi="仿宋_GB2312" w:eastAsia="仿宋_GB2312" w:cs="仿宋_GB2312"/>
          <w:sz w:val="32"/>
          <w:szCs w:val="32"/>
        </w:rPr>
        <w:t>落实产城互动的发展理念，推动</w:t>
      </w:r>
      <w:r>
        <w:rPr>
          <w:rFonts w:hint="eastAsia" w:ascii="仿宋_GB2312" w:hAnsi="仿宋_GB2312" w:eastAsia="仿宋_GB2312" w:cs="仿宋_GB2312"/>
          <w:sz w:val="32"/>
          <w:szCs w:val="32"/>
          <w:lang w:val="en-US" w:eastAsia="zh-CN"/>
        </w:rPr>
        <w:t>各个片区</w:t>
      </w:r>
      <w:r>
        <w:rPr>
          <w:rFonts w:hint="eastAsia" w:ascii="仿宋_GB2312" w:hAnsi="仿宋_GB2312" w:eastAsia="仿宋_GB2312" w:cs="仿宋_GB2312"/>
          <w:sz w:val="32"/>
          <w:szCs w:val="32"/>
        </w:rPr>
        <w:t>空间布局合理、</w:t>
      </w:r>
      <w:r>
        <w:rPr>
          <w:rFonts w:hint="eastAsia" w:ascii="仿宋_GB2312" w:hAnsi="仿宋_GB2312" w:eastAsia="仿宋_GB2312" w:cs="仿宋_GB2312"/>
          <w:sz w:val="32"/>
          <w:szCs w:val="32"/>
          <w:lang w:val="en-US" w:eastAsia="zh-CN"/>
        </w:rPr>
        <w:t>连片发展、</w:t>
      </w:r>
      <w:r>
        <w:rPr>
          <w:rFonts w:hint="eastAsia" w:ascii="仿宋_GB2312" w:hAnsi="仿宋_GB2312" w:eastAsia="仿宋_GB2312" w:cs="仿宋_GB2312"/>
          <w:sz w:val="32"/>
          <w:szCs w:val="32"/>
        </w:rPr>
        <w:t>土地利用有效、公共服务配置完善、基础设施建设有序、近远期建设项目统筹落实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使得土地利用实现由粗放型转为集约型的根本转变。</w:t>
      </w:r>
    </w:p>
    <w:p>
      <w:pPr>
        <w:pStyle w:val="4"/>
        <w:numPr>
          <w:ilvl w:val="0"/>
          <w:numId w:val="6"/>
        </w:numPr>
        <w:spacing w:before="120" w:after="120"/>
        <w:ind w:left="561" w:hanging="420"/>
        <w:rPr>
          <w:sz w:val="32"/>
          <w:szCs w:val="36"/>
        </w:rPr>
      </w:pPr>
      <w:bookmarkStart w:id="8" w:name="_Toc20201"/>
      <w:r>
        <w:rPr>
          <w:rFonts w:hint="eastAsia"/>
          <w:sz w:val="32"/>
          <w:szCs w:val="36"/>
        </w:rPr>
        <w:t>经济效益</w:t>
      </w:r>
      <w:bookmarkEnd w:id="8"/>
    </w:p>
    <w:p>
      <w:pPr>
        <w:widowControl/>
        <w:spacing w:line="560" w:lineRule="exact"/>
        <w:ind w:firstLine="640" w:firstLineChars="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成片开发的实施，有利于建设完善片区周边公共基础配套设施，从而吸引更多的高质量产业落位高明区。项目投产后，生产能力进一步加强，满足市场对产品的需求，除了增加本地税收收入，还将增加高明区第二、三产业的生产总值，提升第二、三产业对地区生产总值增长的贡献率。以新技术、新业态、新模式加速推动一二三产业融合发展，现代农业、传统优势产业、战略性新兴产业、现代服务业的产业体系不断完善。</w:t>
      </w:r>
    </w:p>
    <w:p>
      <w:pPr>
        <w:pStyle w:val="4"/>
        <w:numPr>
          <w:ilvl w:val="0"/>
          <w:numId w:val="6"/>
        </w:numPr>
        <w:spacing w:before="120" w:after="120"/>
        <w:ind w:left="561" w:hanging="420"/>
        <w:rPr>
          <w:sz w:val="32"/>
          <w:szCs w:val="36"/>
        </w:rPr>
      </w:pPr>
      <w:bookmarkStart w:id="9" w:name="_Toc17469"/>
      <w:r>
        <w:rPr>
          <w:rFonts w:hint="eastAsia"/>
          <w:sz w:val="32"/>
          <w:szCs w:val="36"/>
        </w:rPr>
        <w:t>社会效益</w:t>
      </w:r>
      <w:bookmarkEnd w:id="9"/>
    </w:p>
    <w:p>
      <w:pPr>
        <w:keepNext w:val="0"/>
        <w:keepLines w:val="0"/>
        <w:pageBreakBefore w:val="0"/>
        <w:widowControl/>
        <w:kinsoku/>
        <w:wordWrap/>
        <w:overflowPunct/>
        <w:topLinePunct w:val="0"/>
        <w:autoSpaceDE/>
        <w:autoSpaceDN/>
        <w:bidi w:val="0"/>
        <w:adjustRightInd/>
        <w:snapToGrid/>
        <w:spacing w:line="560" w:lineRule="exact"/>
        <w:ind w:firstLine="64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成片开发有利于重点推进产业园发展，优化产业结构和空间布局，结合政策红利，吸引企业入驻，带动地方人才市场，实现人才聚集，有利于促进本地往高质素发展，优化社会结构。高明区将通过龙</w:t>
      </w:r>
    </w:p>
    <w:p>
      <w:pPr>
        <w:keepNext w:val="0"/>
        <w:keepLines w:val="0"/>
        <w:pageBreakBefore w:val="0"/>
        <w:widowControl/>
        <w:kinsoku/>
        <w:wordWrap/>
        <w:overflowPunct/>
        <w:topLinePunct w:val="0"/>
        <w:autoSpaceDE/>
        <w:autoSpaceDN/>
        <w:bidi w:val="0"/>
        <w:adjustRightInd/>
        <w:snapToGrid/>
        <w:spacing w:line="560" w:lineRule="exact"/>
        <w:ind w:firstLine="64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头企业产品辐射、技术示范、信息扩散、销售网络等引领作用，引导制造业中小企业集聚，同时能够为本地创造就业岗位，为本地居民提供更多的就业机会，缓解本地就业压力，实现更加充分更高质量就业，使得居民收入增长和经济增长基本同步。</w:t>
      </w:r>
    </w:p>
    <w:p>
      <w:pPr>
        <w:pStyle w:val="4"/>
        <w:numPr>
          <w:ilvl w:val="0"/>
          <w:numId w:val="6"/>
        </w:numPr>
        <w:spacing w:before="120" w:after="120"/>
        <w:ind w:left="561" w:hanging="420"/>
        <w:rPr>
          <w:sz w:val="32"/>
          <w:szCs w:val="36"/>
        </w:rPr>
      </w:pPr>
      <w:bookmarkStart w:id="10" w:name="_Toc11287"/>
      <w:r>
        <w:rPr>
          <w:rFonts w:hint="eastAsia"/>
          <w:sz w:val="32"/>
          <w:szCs w:val="36"/>
        </w:rPr>
        <w:t>生态效益</w:t>
      </w:r>
      <w:bookmarkEnd w:id="10"/>
    </w:p>
    <w:p>
      <w:pPr>
        <w:widowControl/>
        <w:spacing w:line="560" w:lineRule="exact"/>
        <w:ind w:firstLine="640" w:firstLineChars="0"/>
        <w:jc w:val="left"/>
        <w:rPr>
          <w:rFonts w:hint="eastAsia" w:ascii="仿宋_GB2312" w:hAnsi="仿宋_GB2312" w:eastAsia="仿宋_GB2312" w:cs="仿宋_GB2312"/>
          <w:sz w:val="32"/>
          <w:szCs w:val="32"/>
          <w:lang w:val="en-US" w:eastAsia="zh-CN"/>
        </w:rPr>
      </w:pPr>
      <w:bookmarkStart w:id="11" w:name="_Toc21836"/>
      <w:r>
        <w:rPr>
          <w:rFonts w:hint="eastAsia" w:ascii="仿宋_GB2312" w:hAnsi="仿宋_GB2312" w:eastAsia="仿宋_GB2312" w:cs="仿宋_GB2312"/>
          <w:sz w:val="32"/>
          <w:szCs w:val="32"/>
          <w:lang w:val="en-US" w:eastAsia="zh-CN"/>
        </w:rPr>
        <w:t>成片开发片区范围内不涉及占用永久基本农田、生态保护红线和自然保护地，符合生态环境保护要求，能有效地保障生态安全、粮食安全、国土安全。方案中涉及的产业类项目将结合产业准入、环境评估等手段，与构建绿色制造体系的发展目标相匹配，将环境保护措施落实到位。</w:t>
      </w:r>
    </w:p>
    <w:p>
      <w:pPr>
        <w:numPr>
          <w:ilvl w:val="255"/>
          <w:numId w:val="0"/>
        </w:numPr>
        <w:spacing w:before="120" w:after="120" w:line="360" w:lineRule="auto"/>
        <w:outlineLvl w:val="0"/>
        <w:rPr>
          <w:rFonts w:hint="eastAsia" w:ascii="Calibri" w:hAnsi="Calibri" w:eastAsia="黑体" w:cs="楷体"/>
          <w:bCs/>
          <w:kern w:val="44"/>
          <w:sz w:val="36"/>
          <w:szCs w:val="44"/>
          <w:lang w:val="en-US" w:eastAsia="zh-CN"/>
        </w:rPr>
      </w:pPr>
      <w:r>
        <w:rPr>
          <w:rFonts w:hint="eastAsia" w:ascii="Calibri" w:hAnsi="Calibri" w:eastAsia="黑体" w:cs="楷体"/>
          <w:bCs/>
          <w:kern w:val="44"/>
          <w:sz w:val="36"/>
          <w:szCs w:val="44"/>
          <w:lang w:val="en-US" w:eastAsia="zh-CN"/>
        </w:rPr>
        <w:t>九、结论</w:t>
      </w:r>
      <w:bookmarkEnd w:id="11"/>
    </w:p>
    <w:p>
      <w:pPr>
        <w:keepNext w:val="0"/>
        <w:keepLines w:val="0"/>
        <w:pageBreakBefore w:val="0"/>
        <w:widowControl w:val="0"/>
        <w:kinsoku/>
        <w:wordWrap/>
        <w:overflowPunct/>
        <w:topLinePunct w:val="0"/>
        <w:autoSpaceDE/>
        <w:autoSpaceDN/>
        <w:bidi w:val="0"/>
        <w:adjustRightInd/>
        <w:snapToGrid/>
        <w:spacing w:line="560" w:lineRule="exact"/>
        <w:ind w:firstLine="64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《佛山市高明区2022年度土地征收成片开发方案》符合《自然资源部关于印发&lt;土地征收成片开发标准（试行）&gt;的通知》（自然资规〔2020〕5 号）等相关文件的要求。</w:t>
      </w:r>
    </w:p>
    <w:p>
      <w:pPr>
        <w:numPr>
          <w:ilvl w:val="255"/>
          <w:numId w:val="0"/>
        </w:numPr>
        <w:spacing w:before="120" w:after="120" w:line="360" w:lineRule="auto"/>
        <w:outlineLvl w:val="0"/>
        <w:rPr>
          <w:rFonts w:hint="eastAsia" w:ascii="Calibri" w:hAnsi="Calibri" w:eastAsia="黑体" w:cs="楷体"/>
          <w:bCs/>
          <w:kern w:val="44"/>
          <w:sz w:val="36"/>
          <w:szCs w:val="44"/>
          <w:lang w:val="en-US" w:eastAsia="zh-CN"/>
        </w:rPr>
      </w:pPr>
      <w:r>
        <w:rPr>
          <w:rFonts w:hint="eastAsia" w:ascii="Calibri" w:hAnsi="Calibri" w:eastAsia="黑体" w:cs="楷体"/>
          <w:bCs/>
          <w:kern w:val="44"/>
          <w:sz w:val="36"/>
          <w:szCs w:val="44"/>
          <w:lang w:val="en-US" w:eastAsia="zh-CN"/>
        </w:rPr>
        <w:t>十、附图</w:t>
      </w:r>
    </w:p>
    <w:p>
      <w:pPr>
        <w:pStyle w:val="9"/>
        <w:rPr>
          <w:rFonts w:hint="default"/>
          <w:lang w:val="en-US" w:eastAsia="zh-CN"/>
        </w:rPr>
      </w:pPr>
    </w:p>
    <w:p>
      <w:pPr>
        <w:rPr>
          <w:rFonts w:hint="default"/>
          <w:lang w:val="en-US" w:eastAsia="zh-CN"/>
        </w:rPr>
      </w:pPr>
      <w:r>
        <w:rPr>
          <w:rFonts w:hint="default"/>
          <w:lang w:val="en-US" w:eastAsia="zh-CN"/>
        </w:rPr>
        <w:br w:type="page"/>
      </w:r>
    </w:p>
    <w:p>
      <w:pPr>
        <w:pStyle w:val="9"/>
        <w:rPr>
          <w:rFonts w:hint="default"/>
          <w:lang w:val="en-US" w:eastAsia="zh-CN"/>
        </w:rPr>
        <w:sectPr>
          <w:footerReference r:id="rId6" w:type="default"/>
          <w:pgSz w:w="11906" w:h="16838"/>
          <w:pgMar w:top="1440" w:right="1797" w:bottom="1440" w:left="1797" w:header="851" w:footer="992" w:gutter="0"/>
          <w:pgNumType w:fmt="decimal"/>
          <w:cols w:space="0" w:num="1"/>
          <w:rtlGutter w:val="0"/>
          <w:docGrid w:type="lines" w:linePitch="395" w:charSpace="0"/>
        </w:sect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szCs w:val="28"/>
        </w:rPr>
      </w:pPr>
      <w:r>
        <w:rPr>
          <w:rFonts w:hint="eastAsia" w:cs="Times New Roman"/>
          <w:b/>
          <w:bCs/>
          <w:sz w:val="28"/>
          <w:szCs w:val="28"/>
          <w:lang w:val="en-US" w:eastAsia="zh-CN"/>
        </w:rPr>
        <w:t>拟征收地块、</w:t>
      </w:r>
      <w:r>
        <w:rPr>
          <w:rFonts w:hint="default" w:cs="Times New Roman"/>
          <w:b/>
          <w:bCs/>
          <w:sz w:val="28"/>
          <w:szCs w:val="28"/>
        </w:rPr>
        <w:t>成片开发片区</w:t>
      </w:r>
      <w:r>
        <w:rPr>
          <w:rFonts w:hint="default" w:cs="Times New Roman"/>
          <w:b/>
          <w:bCs/>
          <w:sz w:val="28"/>
          <w:szCs w:val="28"/>
          <w:lang w:val="en-US" w:eastAsia="zh-CN"/>
        </w:rPr>
        <w:t>位置示意图</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lang w:val="en-US" w:eastAsia="zh-CN"/>
        </w:rPr>
      </w:pPr>
      <w:r>
        <w:drawing>
          <wp:inline distT="0" distB="0" distL="114300" distR="114300">
            <wp:extent cx="8054340" cy="4949825"/>
            <wp:effectExtent l="0" t="0" r="3810" b="317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9"/>
                    <a:stretch>
                      <a:fillRect/>
                    </a:stretch>
                  </pic:blipFill>
                  <pic:spPr>
                    <a:xfrm>
                      <a:off x="0" y="0"/>
                      <a:ext cx="8054340" cy="4949825"/>
                    </a:xfrm>
                    <a:prstGeom prst="rect">
                      <a:avLst/>
                    </a:prstGeom>
                    <a:noFill/>
                    <a:ln>
                      <a:noFill/>
                    </a:ln>
                  </pic:spPr>
                </pic:pic>
              </a:graphicData>
            </a:graphic>
          </wp:inline>
        </w:drawing>
      </w:r>
    </w:p>
    <w:sectPr>
      <w:footerReference r:id="rId7" w:type="default"/>
      <w:pgSz w:w="16838" w:h="11906" w:orient="landscape"/>
      <w:pgMar w:top="1797" w:right="1440" w:bottom="1797" w:left="1440" w:header="851" w:footer="992" w:gutter="0"/>
      <w:pgNumType w:fmt="decimal"/>
      <w:cols w:space="0" w:num="1"/>
      <w:rtlGutter w:val="0"/>
      <w:docGrid w:type="lines" w:linePitch="39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560"/>
      </w:pPr>
      <w:r>
        <w:separator/>
      </w:r>
    </w:p>
  </w:endnote>
  <w:endnote w:type="continuationSeparator" w:id="1">
    <w:p>
      <w:pPr>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0" w:firstLineChars="0"/>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63mM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Jut5jKwIAAFcEAAAOAAAAAAAAAAEAIAAAAB8BAABkcnMvZTJvRG9jLnhtbFBLBQYAAAAABgAG&#10;AFkBAAC8BQAAAAA=&#10;">
              <v:fill on="f" focussize="0,0"/>
              <v:stroke on="f" weight="0.5pt"/>
              <v:imagedata o:title=""/>
              <o:lock v:ext="edit" aspectratio="f"/>
              <v:textbox inset="0mm,0mm,0mm,0mm" style="mso-fit-shape-to-text:t;">
                <w:txbxContent>
                  <w:p>
                    <w:pPr>
                      <w:pStyle w:val="10"/>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0" w:firstLineChars="0"/>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0"/>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0" w:firstLineChars="0"/>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10"/>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560"/>
      </w:pPr>
      <w:r>
        <w:separator/>
      </w:r>
    </w:p>
  </w:footnote>
  <w:footnote w:type="continuationSeparator" w:id="1">
    <w:p>
      <w:pPr>
        <w:ind w:firstLine="56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30C94B"/>
    <w:multiLevelType w:val="multilevel"/>
    <w:tmpl w:val="8730C94B"/>
    <w:lvl w:ilvl="0" w:tentative="0">
      <w:start w:val="1"/>
      <w:numFmt w:val="chineseCountingThousand"/>
      <w:pStyle w:val="4"/>
      <w:lvlText w:val="(%1)"/>
      <w:lvlJc w:val="left"/>
      <w:pPr>
        <w:ind w:left="704" w:hanging="420"/>
      </w:pPr>
      <w:rPr>
        <w:rFonts w:hint="eastAsia"/>
      </w:rPr>
    </w:lvl>
    <w:lvl w:ilvl="1" w:tentative="0">
      <w:start w:val="1"/>
      <w:numFmt w:val="lowerLetter"/>
      <w:lvlText w:val="%2)"/>
      <w:lvlJc w:val="left"/>
      <w:pPr>
        <w:ind w:left="1265" w:hanging="420"/>
      </w:pPr>
      <w:rPr>
        <w:rFonts w:hint="eastAsia"/>
      </w:rPr>
    </w:lvl>
    <w:lvl w:ilvl="2" w:tentative="0">
      <w:start w:val="1"/>
      <w:numFmt w:val="lowerRoman"/>
      <w:lvlText w:val="%3."/>
      <w:lvlJc w:val="right"/>
      <w:pPr>
        <w:ind w:left="1685" w:hanging="420"/>
      </w:pPr>
      <w:rPr>
        <w:rFonts w:hint="eastAsia"/>
      </w:rPr>
    </w:lvl>
    <w:lvl w:ilvl="3" w:tentative="0">
      <w:start w:val="1"/>
      <w:numFmt w:val="decimal"/>
      <w:lvlText w:val="%4."/>
      <w:lvlJc w:val="left"/>
      <w:pPr>
        <w:ind w:left="2105" w:hanging="420"/>
      </w:pPr>
      <w:rPr>
        <w:rFonts w:hint="eastAsia"/>
      </w:rPr>
    </w:lvl>
    <w:lvl w:ilvl="4" w:tentative="0">
      <w:start w:val="1"/>
      <w:numFmt w:val="lowerLetter"/>
      <w:lvlText w:val="%5)"/>
      <w:lvlJc w:val="left"/>
      <w:pPr>
        <w:ind w:left="2525" w:hanging="420"/>
      </w:pPr>
      <w:rPr>
        <w:rFonts w:hint="eastAsia"/>
      </w:rPr>
    </w:lvl>
    <w:lvl w:ilvl="5" w:tentative="0">
      <w:start w:val="1"/>
      <w:numFmt w:val="lowerRoman"/>
      <w:lvlText w:val="%6."/>
      <w:lvlJc w:val="right"/>
      <w:pPr>
        <w:ind w:left="2945" w:hanging="420"/>
      </w:pPr>
      <w:rPr>
        <w:rFonts w:hint="eastAsia"/>
      </w:rPr>
    </w:lvl>
    <w:lvl w:ilvl="6" w:tentative="0">
      <w:start w:val="1"/>
      <w:numFmt w:val="decimal"/>
      <w:lvlText w:val="%7."/>
      <w:lvlJc w:val="left"/>
      <w:pPr>
        <w:ind w:left="3365" w:hanging="420"/>
      </w:pPr>
      <w:rPr>
        <w:rFonts w:hint="eastAsia"/>
      </w:rPr>
    </w:lvl>
    <w:lvl w:ilvl="7" w:tentative="0">
      <w:start w:val="1"/>
      <w:numFmt w:val="lowerLetter"/>
      <w:lvlText w:val="%8)"/>
      <w:lvlJc w:val="left"/>
      <w:pPr>
        <w:ind w:left="3785" w:hanging="420"/>
      </w:pPr>
      <w:rPr>
        <w:rFonts w:hint="eastAsia"/>
      </w:rPr>
    </w:lvl>
    <w:lvl w:ilvl="8" w:tentative="0">
      <w:start w:val="1"/>
      <w:numFmt w:val="lowerRoman"/>
      <w:lvlText w:val="%9."/>
      <w:lvlJc w:val="right"/>
      <w:pPr>
        <w:ind w:left="4205" w:hanging="420"/>
      </w:pPr>
      <w:rPr>
        <w:rFonts w:hint="eastAsia"/>
      </w:rPr>
    </w:lvl>
  </w:abstractNum>
  <w:abstractNum w:abstractNumId="1">
    <w:nsid w:val="E2DC899E"/>
    <w:multiLevelType w:val="singleLevel"/>
    <w:tmpl w:val="E2DC899E"/>
    <w:lvl w:ilvl="0" w:tentative="0">
      <w:start w:val="1"/>
      <w:numFmt w:val="chineseCounting"/>
      <w:suff w:val="nothing"/>
      <w:lvlText w:val="%1、"/>
      <w:lvlJc w:val="left"/>
      <w:rPr>
        <w:rFonts w:hint="eastAsia"/>
      </w:rPr>
    </w:lvl>
  </w:abstractNum>
  <w:abstractNum w:abstractNumId="2">
    <w:nsid w:val="07E7509D"/>
    <w:multiLevelType w:val="multilevel"/>
    <w:tmpl w:val="07E7509D"/>
    <w:lvl w:ilvl="0" w:tentative="0">
      <w:start w:val="1"/>
      <w:numFmt w:val="decimal"/>
      <w:pStyle w:val="6"/>
      <w:lvlText w:val="%1)"/>
      <w:lvlJc w:val="left"/>
      <w:pPr>
        <w:ind w:left="845" w:hanging="420"/>
      </w:pPr>
      <w:rPr>
        <w:rFonts w:hint="eastAsia"/>
      </w:rPr>
    </w:lvl>
    <w:lvl w:ilvl="1" w:tentative="0">
      <w:start w:val="1"/>
      <w:numFmt w:val="lowerLetter"/>
      <w:lvlText w:val="%2)"/>
      <w:lvlJc w:val="left"/>
      <w:pPr>
        <w:ind w:left="2257" w:hanging="420"/>
      </w:pPr>
    </w:lvl>
    <w:lvl w:ilvl="2" w:tentative="0">
      <w:start w:val="1"/>
      <w:numFmt w:val="lowerRoman"/>
      <w:lvlText w:val="%3."/>
      <w:lvlJc w:val="right"/>
      <w:pPr>
        <w:ind w:left="2677" w:hanging="420"/>
      </w:pPr>
    </w:lvl>
    <w:lvl w:ilvl="3" w:tentative="0">
      <w:start w:val="1"/>
      <w:numFmt w:val="decimal"/>
      <w:lvlText w:val="%4."/>
      <w:lvlJc w:val="left"/>
      <w:pPr>
        <w:ind w:left="3097" w:hanging="420"/>
      </w:pPr>
    </w:lvl>
    <w:lvl w:ilvl="4" w:tentative="0">
      <w:start w:val="1"/>
      <w:numFmt w:val="lowerLetter"/>
      <w:lvlText w:val="%5)"/>
      <w:lvlJc w:val="left"/>
      <w:pPr>
        <w:ind w:left="3517" w:hanging="420"/>
      </w:pPr>
    </w:lvl>
    <w:lvl w:ilvl="5" w:tentative="0">
      <w:start w:val="1"/>
      <w:numFmt w:val="lowerRoman"/>
      <w:lvlText w:val="%6."/>
      <w:lvlJc w:val="right"/>
      <w:pPr>
        <w:ind w:left="3937" w:hanging="420"/>
      </w:pPr>
    </w:lvl>
    <w:lvl w:ilvl="6" w:tentative="0">
      <w:start w:val="1"/>
      <w:numFmt w:val="decimal"/>
      <w:lvlText w:val="%7."/>
      <w:lvlJc w:val="left"/>
      <w:pPr>
        <w:ind w:left="4357" w:hanging="420"/>
      </w:pPr>
    </w:lvl>
    <w:lvl w:ilvl="7" w:tentative="0">
      <w:start w:val="1"/>
      <w:numFmt w:val="lowerLetter"/>
      <w:lvlText w:val="%8)"/>
      <w:lvlJc w:val="left"/>
      <w:pPr>
        <w:ind w:left="4777" w:hanging="420"/>
      </w:pPr>
    </w:lvl>
    <w:lvl w:ilvl="8" w:tentative="0">
      <w:start w:val="1"/>
      <w:numFmt w:val="lowerRoman"/>
      <w:lvlText w:val="%9."/>
      <w:lvlJc w:val="right"/>
      <w:pPr>
        <w:ind w:left="5197" w:hanging="420"/>
      </w:pPr>
    </w:lvl>
  </w:abstractNum>
  <w:abstractNum w:abstractNumId="3">
    <w:nsid w:val="2BA63828"/>
    <w:multiLevelType w:val="multilevel"/>
    <w:tmpl w:val="2BA63828"/>
    <w:lvl w:ilvl="0" w:tentative="0">
      <w:start w:val="1"/>
      <w:numFmt w:val="chineseCountingThousand"/>
      <w:lvlText w:val="(%1)"/>
      <w:lvlJc w:val="left"/>
      <w:pPr>
        <w:ind w:left="704" w:hanging="420"/>
      </w:pPr>
      <w:rPr>
        <w:rFonts w:hint="eastAsia"/>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4">
    <w:nsid w:val="31C74EFB"/>
    <w:multiLevelType w:val="multilevel"/>
    <w:tmpl w:val="31C74EFB"/>
    <w:lvl w:ilvl="0" w:tentative="0">
      <w:start w:val="1"/>
      <w:numFmt w:val="chineseCountingThousand"/>
      <w:pStyle w:val="28"/>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76CA070F"/>
    <w:multiLevelType w:val="multilevel"/>
    <w:tmpl w:val="76CA070F"/>
    <w:lvl w:ilvl="0" w:tentative="0">
      <w:start w:val="1"/>
      <w:numFmt w:val="chineseCountingThousand"/>
      <w:lvlText w:val="(%1)"/>
      <w:lvlJc w:val="left"/>
      <w:pPr>
        <w:ind w:left="561" w:hanging="420"/>
      </w:pPr>
      <w:rPr>
        <w:rFonts w:hint="eastAsia"/>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num w:numId="1">
    <w:abstractNumId w:val="0"/>
  </w:num>
  <w:num w:numId="2">
    <w:abstractNumId w:val="2"/>
  </w:num>
  <w:num w:numId="3">
    <w:abstractNumId w:val="4"/>
  </w:num>
  <w:num w:numId="4">
    <w:abstractNumId w:val="1"/>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98"/>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k4NmNhMTVmN2I2MWMxNDg1MTJhNTA3ZDkyNDFjMDAifQ=="/>
  </w:docVars>
  <w:rsids>
    <w:rsidRoot w:val="0D9F6ED5"/>
    <w:rsid w:val="000750B8"/>
    <w:rsid w:val="000F1B11"/>
    <w:rsid w:val="00130D91"/>
    <w:rsid w:val="001970A6"/>
    <w:rsid w:val="001B6CD8"/>
    <w:rsid w:val="001D4659"/>
    <w:rsid w:val="00235D3B"/>
    <w:rsid w:val="003044CE"/>
    <w:rsid w:val="00305462"/>
    <w:rsid w:val="00311A76"/>
    <w:rsid w:val="004025A3"/>
    <w:rsid w:val="004633DE"/>
    <w:rsid w:val="00495C5F"/>
    <w:rsid w:val="004A052A"/>
    <w:rsid w:val="004B2FFA"/>
    <w:rsid w:val="004C2EA5"/>
    <w:rsid w:val="004D21A3"/>
    <w:rsid w:val="0051777D"/>
    <w:rsid w:val="00520304"/>
    <w:rsid w:val="006A237A"/>
    <w:rsid w:val="00772351"/>
    <w:rsid w:val="007D784F"/>
    <w:rsid w:val="008C2202"/>
    <w:rsid w:val="0091662D"/>
    <w:rsid w:val="0099223B"/>
    <w:rsid w:val="009D578A"/>
    <w:rsid w:val="00A75442"/>
    <w:rsid w:val="00B857F2"/>
    <w:rsid w:val="00C013F7"/>
    <w:rsid w:val="00C901FE"/>
    <w:rsid w:val="00D07F09"/>
    <w:rsid w:val="00E86015"/>
    <w:rsid w:val="00EC4D4E"/>
    <w:rsid w:val="00EE53CE"/>
    <w:rsid w:val="00F1104B"/>
    <w:rsid w:val="00F570BA"/>
    <w:rsid w:val="00F9470B"/>
    <w:rsid w:val="012B027E"/>
    <w:rsid w:val="01B723D2"/>
    <w:rsid w:val="01B93CB7"/>
    <w:rsid w:val="01FB6AD1"/>
    <w:rsid w:val="025E676C"/>
    <w:rsid w:val="026D332A"/>
    <w:rsid w:val="02834F3F"/>
    <w:rsid w:val="02A35A31"/>
    <w:rsid w:val="02BF0151"/>
    <w:rsid w:val="02F2727A"/>
    <w:rsid w:val="02FD039C"/>
    <w:rsid w:val="030C6CE7"/>
    <w:rsid w:val="03115327"/>
    <w:rsid w:val="031D1D3A"/>
    <w:rsid w:val="036D53B8"/>
    <w:rsid w:val="039E7BFC"/>
    <w:rsid w:val="03B249A0"/>
    <w:rsid w:val="03F5567A"/>
    <w:rsid w:val="040530AE"/>
    <w:rsid w:val="04512AE7"/>
    <w:rsid w:val="04786742"/>
    <w:rsid w:val="04DA1754"/>
    <w:rsid w:val="04DB0DF0"/>
    <w:rsid w:val="0513531E"/>
    <w:rsid w:val="0525006B"/>
    <w:rsid w:val="05634F7D"/>
    <w:rsid w:val="056836A1"/>
    <w:rsid w:val="05904288"/>
    <w:rsid w:val="059C73DB"/>
    <w:rsid w:val="05BF195F"/>
    <w:rsid w:val="06014645"/>
    <w:rsid w:val="06322094"/>
    <w:rsid w:val="06334BDE"/>
    <w:rsid w:val="06575AF9"/>
    <w:rsid w:val="0666319C"/>
    <w:rsid w:val="06B92AC7"/>
    <w:rsid w:val="06D20B58"/>
    <w:rsid w:val="06F36E19"/>
    <w:rsid w:val="070B5459"/>
    <w:rsid w:val="0711502D"/>
    <w:rsid w:val="07122666"/>
    <w:rsid w:val="0734518A"/>
    <w:rsid w:val="07401F98"/>
    <w:rsid w:val="075607D7"/>
    <w:rsid w:val="076E396D"/>
    <w:rsid w:val="078D76A1"/>
    <w:rsid w:val="07AC7082"/>
    <w:rsid w:val="08020162"/>
    <w:rsid w:val="080E69DB"/>
    <w:rsid w:val="084D4A74"/>
    <w:rsid w:val="088E69DA"/>
    <w:rsid w:val="09265B20"/>
    <w:rsid w:val="09D51EE3"/>
    <w:rsid w:val="09F51253"/>
    <w:rsid w:val="0A5E1C4B"/>
    <w:rsid w:val="0AAE5324"/>
    <w:rsid w:val="0AC44914"/>
    <w:rsid w:val="0B3E48E9"/>
    <w:rsid w:val="0B497451"/>
    <w:rsid w:val="0B63471F"/>
    <w:rsid w:val="0B8043E7"/>
    <w:rsid w:val="0BE6295C"/>
    <w:rsid w:val="0D0412E4"/>
    <w:rsid w:val="0D191A81"/>
    <w:rsid w:val="0D7F4840"/>
    <w:rsid w:val="0D9F6ED5"/>
    <w:rsid w:val="0DCF3D77"/>
    <w:rsid w:val="0E111458"/>
    <w:rsid w:val="0E833925"/>
    <w:rsid w:val="0EA15C06"/>
    <w:rsid w:val="0EF535DA"/>
    <w:rsid w:val="0F0969FC"/>
    <w:rsid w:val="0F1160D0"/>
    <w:rsid w:val="0F3A7D6D"/>
    <w:rsid w:val="103F4C84"/>
    <w:rsid w:val="1099179A"/>
    <w:rsid w:val="10AC6A9E"/>
    <w:rsid w:val="10CE42B6"/>
    <w:rsid w:val="11061EA2"/>
    <w:rsid w:val="11415E7A"/>
    <w:rsid w:val="116110A9"/>
    <w:rsid w:val="11656491"/>
    <w:rsid w:val="11733875"/>
    <w:rsid w:val="11787414"/>
    <w:rsid w:val="119810E6"/>
    <w:rsid w:val="11A144A8"/>
    <w:rsid w:val="11B93132"/>
    <w:rsid w:val="11CD0636"/>
    <w:rsid w:val="11D91200"/>
    <w:rsid w:val="11FB0AD2"/>
    <w:rsid w:val="12313A18"/>
    <w:rsid w:val="1265333A"/>
    <w:rsid w:val="12D55D23"/>
    <w:rsid w:val="12E41406"/>
    <w:rsid w:val="12F62100"/>
    <w:rsid w:val="13015B34"/>
    <w:rsid w:val="139026AA"/>
    <w:rsid w:val="1400548C"/>
    <w:rsid w:val="141008AC"/>
    <w:rsid w:val="14242518"/>
    <w:rsid w:val="143E5A91"/>
    <w:rsid w:val="14C83FFD"/>
    <w:rsid w:val="152C3656"/>
    <w:rsid w:val="16277F23"/>
    <w:rsid w:val="163112C6"/>
    <w:rsid w:val="168513E3"/>
    <w:rsid w:val="16B50D5B"/>
    <w:rsid w:val="16B9141F"/>
    <w:rsid w:val="171E06D2"/>
    <w:rsid w:val="172F4CC4"/>
    <w:rsid w:val="175F44AC"/>
    <w:rsid w:val="17B76285"/>
    <w:rsid w:val="17F20E0B"/>
    <w:rsid w:val="186D7031"/>
    <w:rsid w:val="187171F3"/>
    <w:rsid w:val="1886238D"/>
    <w:rsid w:val="18983097"/>
    <w:rsid w:val="189F2CD8"/>
    <w:rsid w:val="18AD6781"/>
    <w:rsid w:val="18BA396F"/>
    <w:rsid w:val="18BD6172"/>
    <w:rsid w:val="18C85A83"/>
    <w:rsid w:val="18DE6FC3"/>
    <w:rsid w:val="18E07BB8"/>
    <w:rsid w:val="190B5EEA"/>
    <w:rsid w:val="19195476"/>
    <w:rsid w:val="19232FCC"/>
    <w:rsid w:val="19576938"/>
    <w:rsid w:val="197964B0"/>
    <w:rsid w:val="1A2967EA"/>
    <w:rsid w:val="1A2C6E1A"/>
    <w:rsid w:val="1A6E0DAA"/>
    <w:rsid w:val="1A6F1A6F"/>
    <w:rsid w:val="1AD93D61"/>
    <w:rsid w:val="1AE4111D"/>
    <w:rsid w:val="1B083355"/>
    <w:rsid w:val="1B572DEC"/>
    <w:rsid w:val="1B9C6015"/>
    <w:rsid w:val="1BCA739D"/>
    <w:rsid w:val="1C974611"/>
    <w:rsid w:val="1D1A6387"/>
    <w:rsid w:val="1D2B2C5D"/>
    <w:rsid w:val="1D460095"/>
    <w:rsid w:val="1DB027F7"/>
    <w:rsid w:val="1DB479E2"/>
    <w:rsid w:val="1DC468C4"/>
    <w:rsid w:val="1DC87757"/>
    <w:rsid w:val="1DF0235D"/>
    <w:rsid w:val="1E1C6F86"/>
    <w:rsid w:val="1E2768FE"/>
    <w:rsid w:val="1E28747F"/>
    <w:rsid w:val="1E503006"/>
    <w:rsid w:val="1E8E446B"/>
    <w:rsid w:val="1EA411F5"/>
    <w:rsid w:val="1EAF0226"/>
    <w:rsid w:val="1ED525E6"/>
    <w:rsid w:val="1EDA6147"/>
    <w:rsid w:val="1EFB3A8A"/>
    <w:rsid w:val="1F146999"/>
    <w:rsid w:val="1F407EBC"/>
    <w:rsid w:val="1F47796A"/>
    <w:rsid w:val="1F4A35BE"/>
    <w:rsid w:val="1F591E54"/>
    <w:rsid w:val="1F9A41CA"/>
    <w:rsid w:val="2034115A"/>
    <w:rsid w:val="2097117D"/>
    <w:rsid w:val="20BA59DD"/>
    <w:rsid w:val="20ED1203"/>
    <w:rsid w:val="213A47A4"/>
    <w:rsid w:val="214146B7"/>
    <w:rsid w:val="2175195F"/>
    <w:rsid w:val="21964DDA"/>
    <w:rsid w:val="21983295"/>
    <w:rsid w:val="21C06721"/>
    <w:rsid w:val="21CD338B"/>
    <w:rsid w:val="21DB3363"/>
    <w:rsid w:val="228A3F5B"/>
    <w:rsid w:val="23076D54"/>
    <w:rsid w:val="23200F56"/>
    <w:rsid w:val="2333305E"/>
    <w:rsid w:val="23875246"/>
    <w:rsid w:val="23C327A9"/>
    <w:rsid w:val="23CD24C8"/>
    <w:rsid w:val="23E351B1"/>
    <w:rsid w:val="245F60EE"/>
    <w:rsid w:val="24A40392"/>
    <w:rsid w:val="24D13CB6"/>
    <w:rsid w:val="25387CCE"/>
    <w:rsid w:val="25756BBF"/>
    <w:rsid w:val="25823B63"/>
    <w:rsid w:val="25B1424F"/>
    <w:rsid w:val="25CB2851"/>
    <w:rsid w:val="25E735D3"/>
    <w:rsid w:val="266F44C5"/>
    <w:rsid w:val="268D13B9"/>
    <w:rsid w:val="26A423AF"/>
    <w:rsid w:val="26A65479"/>
    <w:rsid w:val="26B66D69"/>
    <w:rsid w:val="26D10E22"/>
    <w:rsid w:val="26E26E44"/>
    <w:rsid w:val="278D262B"/>
    <w:rsid w:val="279B0A7B"/>
    <w:rsid w:val="282F4588"/>
    <w:rsid w:val="28765EE2"/>
    <w:rsid w:val="28E2127D"/>
    <w:rsid w:val="29143778"/>
    <w:rsid w:val="294606A3"/>
    <w:rsid w:val="296E5B37"/>
    <w:rsid w:val="297E1B3A"/>
    <w:rsid w:val="299978FF"/>
    <w:rsid w:val="29A5185C"/>
    <w:rsid w:val="29CE16C4"/>
    <w:rsid w:val="29EF4847"/>
    <w:rsid w:val="2A060CA3"/>
    <w:rsid w:val="2A235D7F"/>
    <w:rsid w:val="2A433B63"/>
    <w:rsid w:val="2A5D6C41"/>
    <w:rsid w:val="2A5E7730"/>
    <w:rsid w:val="2A672FB9"/>
    <w:rsid w:val="2ABD364B"/>
    <w:rsid w:val="2B18582A"/>
    <w:rsid w:val="2B3824B6"/>
    <w:rsid w:val="2B660896"/>
    <w:rsid w:val="2B8160B2"/>
    <w:rsid w:val="2B990EAF"/>
    <w:rsid w:val="2BC9692C"/>
    <w:rsid w:val="2BF44C56"/>
    <w:rsid w:val="2BFC1011"/>
    <w:rsid w:val="2C1D6FB9"/>
    <w:rsid w:val="2C424154"/>
    <w:rsid w:val="2C4938AB"/>
    <w:rsid w:val="2C536581"/>
    <w:rsid w:val="2C8A410F"/>
    <w:rsid w:val="2CBF7CAB"/>
    <w:rsid w:val="2CC91C70"/>
    <w:rsid w:val="2DAA208B"/>
    <w:rsid w:val="2E4A5917"/>
    <w:rsid w:val="2E7117F2"/>
    <w:rsid w:val="2E811D1D"/>
    <w:rsid w:val="2EAD2EDD"/>
    <w:rsid w:val="2ED02D42"/>
    <w:rsid w:val="2F172C69"/>
    <w:rsid w:val="2F783672"/>
    <w:rsid w:val="2FB06BA2"/>
    <w:rsid w:val="2FB163B0"/>
    <w:rsid w:val="300977FD"/>
    <w:rsid w:val="304D69D0"/>
    <w:rsid w:val="304E2F72"/>
    <w:rsid w:val="306E2844"/>
    <w:rsid w:val="308C1E21"/>
    <w:rsid w:val="30B269BD"/>
    <w:rsid w:val="30B84E95"/>
    <w:rsid w:val="31247698"/>
    <w:rsid w:val="317C39D2"/>
    <w:rsid w:val="31C17595"/>
    <w:rsid w:val="31FA31FE"/>
    <w:rsid w:val="320E702B"/>
    <w:rsid w:val="32242987"/>
    <w:rsid w:val="324C51D7"/>
    <w:rsid w:val="326600BE"/>
    <w:rsid w:val="32843D60"/>
    <w:rsid w:val="331E2CFA"/>
    <w:rsid w:val="332713E9"/>
    <w:rsid w:val="337D61C2"/>
    <w:rsid w:val="33847304"/>
    <w:rsid w:val="339911E1"/>
    <w:rsid w:val="33B668B3"/>
    <w:rsid w:val="33C64166"/>
    <w:rsid w:val="34066716"/>
    <w:rsid w:val="34207F13"/>
    <w:rsid w:val="34525317"/>
    <w:rsid w:val="34650FEB"/>
    <w:rsid w:val="346E6C90"/>
    <w:rsid w:val="349015BA"/>
    <w:rsid w:val="34B221F5"/>
    <w:rsid w:val="34D27C86"/>
    <w:rsid w:val="35615C0F"/>
    <w:rsid w:val="358367A4"/>
    <w:rsid w:val="359160E2"/>
    <w:rsid w:val="36807657"/>
    <w:rsid w:val="368C5E1B"/>
    <w:rsid w:val="369F7833"/>
    <w:rsid w:val="37141881"/>
    <w:rsid w:val="3730487C"/>
    <w:rsid w:val="37475511"/>
    <w:rsid w:val="37643666"/>
    <w:rsid w:val="376B1785"/>
    <w:rsid w:val="37C741E5"/>
    <w:rsid w:val="37C8257F"/>
    <w:rsid w:val="37E1486C"/>
    <w:rsid w:val="38036243"/>
    <w:rsid w:val="381E706A"/>
    <w:rsid w:val="388712E7"/>
    <w:rsid w:val="390E411D"/>
    <w:rsid w:val="39377D8C"/>
    <w:rsid w:val="394D1620"/>
    <w:rsid w:val="397615EB"/>
    <w:rsid w:val="39DE20E1"/>
    <w:rsid w:val="39E65EA4"/>
    <w:rsid w:val="3A0544E8"/>
    <w:rsid w:val="3A4C5824"/>
    <w:rsid w:val="3A5E210D"/>
    <w:rsid w:val="3A894931"/>
    <w:rsid w:val="3A933FBF"/>
    <w:rsid w:val="3AA16DD5"/>
    <w:rsid w:val="3AAC512A"/>
    <w:rsid w:val="3AC1342B"/>
    <w:rsid w:val="3AC42A08"/>
    <w:rsid w:val="3ACA068B"/>
    <w:rsid w:val="3B672940"/>
    <w:rsid w:val="3B8002F5"/>
    <w:rsid w:val="3BB54AE1"/>
    <w:rsid w:val="3C2E70F2"/>
    <w:rsid w:val="3CAB26CA"/>
    <w:rsid w:val="3CE10AD8"/>
    <w:rsid w:val="3CE15C7C"/>
    <w:rsid w:val="3D41514F"/>
    <w:rsid w:val="3D4604CE"/>
    <w:rsid w:val="3D4A506B"/>
    <w:rsid w:val="3D66424F"/>
    <w:rsid w:val="3D831785"/>
    <w:rsid w:val="3D8C092C"/>
    <w:rsid w:val="3DA806E6"/>
    <w:rsid w:val="3DEE5FFB"/>
    <w:rsid w:val="3E35393C"/>
    <w:rsid w:val="3E7141A4"/>
    <w:rsid w:val="3F1165DA"/>
    <w:rsid w:val="3F423BB3"/>
    <w:rsid w:val="3F6D00BD"/>
    <w:rsid w:val="4056505F"/>
    <w:rsid w:val="40A54EF9"/>
    <w:rsid w:val="40A72B42"/>
    <w:rsid w:val="413701AD"/>
    <w:rsid w:val="41552421"/>
    <w:rsid w:val="41826572"/>
    <w:rsid w:val="41CA3FDF"/>
    <w:rsid w:val="42055781"/>
    <w:rsid w:val="421B1067"/>
    <w:rsid w:val="4239586C"/>
    <w:rsid w:val="42793CB8"/>
    <w:rsid w:val="428B4B09"/>
    <w:rsid w:val="429F76E2"/>
    <w:rsid w:val="42BE5225"/>
    <w:rsid w:val="42F64158"/>
    <w:rsid w:val="430F28FB"/>
    <w:rsid w:val="4328682D"/>
    <w:rsid w:val="43910563"/>
    <w:rsid w:val="43AD257B"/>
    <w:rsid w:val="44C67C29"/>
    <w:rsid w:val="44D86AFC"/>
    <w:rsid w:val="44FF2AE2"/>
    <w:rsid w:val="45B43F1B"/>
    <w:rsid w:val="45C772D0"/>
    <w:rsid w:val="46783559"/>
    <w:rsid w:val="4684062C"/>
    <w:rsid w:val="46B85EE4"/>
    <w:rsid w:val="46D96BB4"/>
    <w:rsid w:val="47290F63"/>
    <w:rsid w:val="47CB5E54"/>
    <w:rsid w:val="481E00C5"/>
    <w:rsid w:val="48402FFB"/>
    <w:rsid w:val="48672EC8"/>
    <w:rsid w:val="487049F0"/>
    <w:rsid w:val="48EB70B4"/>
    <w:rsid w:val="48F25DD4"/>
    <w:rsid w:val="48F84296"/>
    <w:rsid w:val="49526878"/>
    <w:rsid w:val="495A1A78"/>
    <w:rsid w:val="49842456"/>
    <w:rsid w:val="4A180AEC"/>
    <w:rsid w:val="4A79438D"/>
    <w:rsid w:val="4AF169B7"/>
    <w:rsid w:val="4AF46CEF"/>
    <w:rsid w:val="4B470185"/>
    <w:rsid w:val="4B9B0232"/>
    <w:rsid w:val="4B9D6787"/>
    <w:rsid w:val="4BD602FD"/>
    <w:rsid w:val="4BD60B30"/>
    <w:rsid w:val="4BF01E69"/>
    <w:rsid w:val="4C9400A8"/>
    <w:rsid w:val="4CAF3553"/>
    <w:rsid w:val="4D6A495D"/>
    <w:rsid w:val="4D7E725D"/>
    <w:rsid w:val="4DAA7AC0"/>
    <w:rsid w:val="4E290E96"/>
    <w:rsid w:val="4E322193"/>
    <w:rsid w:val="4E3E39B6"/>
    <w:rsid w:val="4EAA2E4C"/>
    <w:rsid w:val="4EB46533"/>
    <w:rsid w:val="4EE171E0"/>
    <w:rsid w:val="4F2943A8"/>
    <w:rsid w:val="4F7C600E"/>
    <w:rsid w:val="4FCB0133"/>
    <w:rsid w:val="50052260"/>
    <w:rsid w:val="50291264"/>
    <w:rsid w:val="50370A2C"/>
    <w:rsid w:val="507C2221"/>
    <w:rsid w:val="50820A89"/>
    <w:rsid w:val="509E2F88"/>
    <w:rsid w:val="51022C56"/>
    <w:rsid w:val="510B00E0"/>
    <w:rsid w:val="51DE7ED3"/>
    <w:rsid w:val="52AA6BCD"/>
    <w:rsid w:val="52BD39BC"/>
    <w:rsid w:val="53585CFB"/>
    <w:rsid w:val="53D06650"/>
    <w:rsid w:val="53D255E2"/>
    <w:rsid w:val="53F22C00"/>
    <w:rsid w:val="54022513"/>
    <w:rsid w:val="5403413E"/>
    <w:rsid w:val="544C1732"/>
    <w:rsid w:val="545F7FC4"/>
    <w:rsid w:val="546646B7"/>
    <w:rsid w:val="54871A71"/>
    <w:rsid w:val="548A5BCE"/>
    <w:rsid w:val="54B40A9F"/>
    <w:rsid w:val="54F44A97"/>
    <w:rsid w:val="55056148"/>
    <w:rsid w:val="55390C78"/>
    <w:rsid w:val="556F14B6"/>
    <w:rsid w:val="558458E4"/>
    <w:rsid w:val="55856C89"/>
    <w:rsid w:val="55F02F05"/>
    <w:rsid w:val="560D5526"/>
    <w:rsid w:val="562E7E2F"/>
    <w:rsid w:val="5632783E"/>
    <w:rsid w:val="567D4F13"/>
    <w:rsid w:val="569A342F"/>
    <w:rsid w:val="56BC3CCE"/>
    <w:rsid w:val="56EA6FD4"/>
    <w:rsid w:val="56EF1B97"/>
    <w:rsid w:val="57364815"/>
    <w:rsid w:val="57B24EE8"/>
    <w:rsid w:val="57CA0DDB"/>
    <w:rsid w:val="57FF4465"/>
    <w:rsid w:val="58145C97"/>
    <w:rsid w:val="581B5D93"/>
    <w:rsid w:val="585F630E"/>
    <w:rsid w:val="587A4D6B"/>
    <w:rsid w:val="58C37DD9"/>
    <w:rsid w:val="58CC37A1"/>
    <w:rsid w:val="59162B50"/>
    <w:rsid w:val="59233B39"/>
    <w:rsid w:val="59574060"/>
    <w:rsid w:val="597A5AA7"/>
    <w:rsid w:val="59860D11"/>
    <w:rsid w:val="59BD2A03"/>
    <w:rsid w:val="59ED5866"/>
    <w:rsid w:val="5A3D4C66"/>
    <w:rsid w:val="5AB3156A"/>
    <w:rsid w:val="5AEB3F73"/>
    <w:rsid w:val="5B316B7A"/>
    <w:rsid w:val="5B4F0B8B"/>
    <w:rsid w:val="5B5434E8"/>
    <w:rsid w:val="5B5E2260"/>
    <w:rsid w:val="5B5E3B9A"/>
    <w:rsid w:val="5BC418A2"/>
    <w:rsid w:val="5BE766D5"/>
    <w:rsid w:val="5BEB069E"/>
    <w:rsid w:val="5BF216C6"/>
    <w:rsid w:val="5C0A1D9D"/>
    <w:rsid w:val="5C1A179D"/>
    <w:rsid w:val="5C1B4183"/>
    <w:rsid w:val="5C221726"/>
    <w:rsid w:val="5C27617E"/>
    <w:rsid w:val="5C495684"/>
    <w:rsid w:val="5CC76BE0"/>
    <w:rsid w:val="5CF96772"/>
    <w:rsid w:val="5D2B2014"/>
    <w:rsid w:val="5D8F5181"/>
    <w:rsid w:val="5D9F196D"/>
    <w:rsid w:val="5E01136E"/>
    <w:rsid w:val="5E1B6EBA"/>
    <w:rsid w:val="5E254840"/>
    <w:rsid w:val="5E441E08"/>
    <w:rsid w:val="5E5148D5"/>
    <w:rsid w:val="5EAA4C9E"/>
    <w:rsid w:val="5F906D3D"/>
    <w:rsid w:val="5FA00A8B"/>
    <w:rsid w:val="5FCB2DA1"/>
    <w:rsid w:val="5FD03466"/>
    <w:rsid w:val="5FE405F8"/>
    <w:rsid w:val="5FFC796C"/>
    <w:rsid w:val="601C25F8"/>
    <w:rsid w:val="60B36C08"/>
    <w:rsid w:val="610D2453"/>
    <w:rsid w:val="615471B1"/>
    <w:rsid w:val="61547704"/>
    <w:rsid w:val="61585783"/>
    <w:rsid w:val="618001A9"/>
    <w:rsid w:val="61D82089"/>
    <w:rsid w:val="620311A6"/>
    <w:rsid w:val="6210219F"/>
    <w:rsid w:val="62722B72"/>
    <w:rsid w:val="62943F84"/>
    <w:rsid w:val="62A03D42"/>
    <w:rsid w:val="62B67467"/>
    <w:rsid w:val="63386FBA"/>
    <w:rsid w:val="63410290"/>
    <w:rsid w:val="63892BAC"/>
    <w:rsid w:val="638B31BB"/>
    <w:rsid w:val="63AE0360"/>
    <w:rsid w:val="63DE3074"/>
    <w:rsid w:val="63F22B00"/>
    <w:rsid w:val="641217E3"/>
    <w:rsid w:val="643067A5"/>
    <w:rsid w:val="643F55E0"/>
    <w:rsid w:val="64E641C9"/>
    <w:rsid w:val="65834A17"/>
    <w:rsid w:val="65D64B2C"/>
    <w:rsid w:val="65EB61E8"/>
    <w:rsid w:val="661129E6"/>
    <w:rsid w:val="664408B9"/>
    <w:rsid w:val="66443ECD"/>
    <w:rsid w:val="66780A43"/>
    <w:rsid w:val="668B1E3B"/>
    <w:rsid w:val="67282232"/>
    <w:rsid w:val="6769418D"/>
    <w:rsid w:val="67E76B3B"/>
    <w:rsid w:val="682B54F5"/>
    <w:rsid w:val="68345EA9"/>
    <w:rsid w:val="684636BF"/>
    <w:rsid w:val="68797C57"/>
    <w:rsid w:val="687D48A3"/>
    <w:rsid w:val="68C77491"/>
    <w:rsid w:val="68CD5BB4"/>
    <w:rsid w:val="6937681C"/>
    <w:rsid w:val="6982475B"/>
    <w:rsid w:val="69886189"/>
    <w:rsid w:val="69BA0C78"/>
    <w:rsid w:val="6A20127A"/>
    <w:rsid w:val="6A376E25"/>
    <w:rsid w:val="6A5324D1"/>
    <w:rsid w:val="6A5C3939"/>
    <w:rsid w:val="6AA8027D"/>
    <w:rsid w:val="6ABD324C"/>
    <w:rsid w:val="6ACE1DFD"/>
    <w:rsid w:val="6AEA597A"/>
    <w:rsid w:val="6B054224"/>
    <w:rsid w:val="6B1C1409"/>
    <w:rsid w:val="6BA14D3F"/>
    <w:rsid w:val="6BBC20DA"/>
    <w:rsid w:val="6BFF4320"/>
    <w:rsid w:val="6C1E7A68"/>
    <w:rsid w:val="6C266B3E"/>
    <w:rsid w:val="6C3A1CDB"/>
    <w:rsid w:val="6C8F3B3E"/>
    <w:rsid w:val="6C991642"/>
    <w:rsid w:val="6CEB6E95"/>
    <w:rsid w:val="6D400CD2"/>
    <w:rsid w:val="6DB84D72"/>
    <w:rsid w:val="6DBA19F9"/>
    <w:rsid w:val="6DC10ADE"/>
    <w:rsid w:val="6E264054"/>
    <w:rsid w:val="6E2A1FFB"/>
    <w:rsid w:val="6E35386F"/>
    <w:rsid w:val="6E4A131E"/>
    <w:rsid w:val="6EFC2E18"/>
    <w:rsid w:val="6FD34796"/>
    <w:rsid w:val="70294AE4"/>
    <w:rsid w:val="706022D7"/>
    <w:rsid w:val="707C697F"/>
    <w:rsid w:val="70A5031A"/>
    <w:rsid w:val="71063C14"/>
    <w:rsid w:val="710B0143"/>
    <w:rsid w:val="71186953"/>
    <w:rsid w:val="71434CC9"/>
    <w:rsid w:val="71456637"/>
    <w:rsid w:val="7196665B"/>
    <w:rsid w:val="71985432"/>
    <w:rsid w:val="71B72D31"/>
    <w:rsid w:val="71C27838"/>
    <w:rsid w:val="72236963"/>
    <w:rsid w:val="722E0200"/>
    <w:rsid w:val="728763D2"/>
    <w:rsid w:val="733C4253"/>
    <w:rsid w:val="736D553D"/>
    <w:rsid w:val="7424125D"/>
    <w:rsid w:val="742510AC"/>
    <w:rsid w:val="743862B6"/>
    <w:rsid w:val="744E0A54"/>
    <w:rsid w:val="74832336"/>
    <w:rsid w:val="749B132F"/>
    <w:rsid w:val="752E1B15"/>
    <w:rsid w:val="75C925D7"/>
    <w:rsid w:val="7610704F"/>
    <w:rsid w:val="762448C6"/>
    <w:rsid w:val="76260B85"/>
    <w:rsid w:val="7673744E"/>
    <w:rsid w:val="76D25324"/>
    <w:rsid w:val="76EF20D0"/>
    <w:rsid w:val="76F963E0"/>
    <w:rsid w:val="77D71772"/>
    <w:rsid w:val="78284F57"/>
    <w:rsid w:val="78410547"/>
    <w:rsid w:val="78A12F44"/>
    <w:rsid w:val="78B309A0"/>
    <w:rsid w:val="78C6087E"/>
    <w:rsid w:val="78CB198A"/>
    <w:rsid w:val="78FE0116"/>
    <w:rsid w:val="792A71ED"/>
    <w:rsid w:val="793149A0"/>
    <w:rsid w:val="796A669F"/>
    <w:rsid w:val="797E43DF"/>
    <w:rsid w:val="798E010E"/>
    <w:rsid w:val="799702ED"/>
    <w:rsid w:val="79B37741"/>
    <w:rsid w:val="79C55AA0"/>
    <w:rsid w:val="79D40136"/>
    <w:rsid w:val="79E472A0"/>
    <w:rsid w:val="7A127111"/>
    <w:rsid w:val="7A1B18BC"/>
    <w:rsid w:val="7A25767B"/>
    <w:rsid w:val="7A2F6D4C"/>
    <w:rsid w:val="7A665F44"/>
    <w:rsid w:val="7A8A201C"/>
    <w:rsid w:val="7A9F532B"/>
    <w:rsid w:val="7AA01309"/>
    <w:rsid w:val="7ABD01A7"/>
    <w:rsid w:val="7AE078E8"/>
    <w:rsid w:val="7B0D3324"/>
    <w:rsid w:val="7B3869EF"/>
    <w:rsid w:val="7B7E6612"/>
    <w:rsid w:val="7B9904FF"/>
    <w:rsid w:val="7C406C64"/>
    <w:rsid w:val="7C7D6F9D"/>
    <w:rsid w:val="7C845D6E"/>
    <w:rsid w:val="7CF86B27"/>
    <w:rsid w:val="7D2A6364"/>
    <w:rsid w:val="7D3A0135"/>
    <w:rsid w:val="7D6D74D5"/>
    <w:rsid w:val="7D6E1593"/>
    <w:rsid w:val="7DED5D95"/>
    <w:rsid w:val="7DF42EAD"/>
    <w:rsid w:val="7E222493"/>
    <w:rsid w:val="7E380430"/>
    <w:rsid w:val="7E3E2B27"/>
    <w:rsid w:val="7EC47FCC"/>
    <w:rsid w:val="7F4E1422"/>
    <w:rsid w:val="7F67394A"/>
    <w:rsid w:val="7F9A1988"/>
    <w:rsid w:val="7FA63987"/>
    <w:rsid w:val="7FA92A65"/>
    <w:rsid w:val="7FB21ADE"/>
    <w:rsid w:val="7FCC05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9"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883" w:firstLineChars="200"/>
      <w:jc w:val="both"/>
    </w:pPr>
    <w:rPr>
      <w:rFonts w:ascii="Times New Roman" w:hAnsi="Times New Roman" w:eastAsia="仿宋" w:cs="Calibri"/>
      <w:kern w:val="2"/>
      <w:sz w:val="28"/>
      <w:szCs w:val="22"/>
      <w:lang w:val="en-US" w:eastAsia="zh-CN" w:bidi="ar-SA"/>
    </w:rPr>
  </w:style>
  <w:style w:type="paragraph" w:styleId="3">
    <w:name w:val="heading 1"/>
    <w:basedOn w:val="4"/>
    <w:next w:val="1"/>
    <w:link w:val="30"/>
    <w:qFormat/>
    <w:uiPriority w:val="0"/>
    <w:pPr>
      <w:spacing w:before="120" w:after="120" w:line="360" w:lineRule="auto"/>
      <w:outlineLvl w:val="0"/>
    </w:pPr>
    <w:rPr>
      <w:rFonts w:ascii="Calibri" w:hAnsi="Calibri" w:eastAsia="黑体"/>
      <w:b w:val="0"/>
      <w:kern w:val="44"/>
      <w:sz w:val="36"/>
      <w:szCs w:val="44"/>
    </w:rPr>
  </w:style>
  <w:style w:type="paragraph" w:styleId="4">
    <w:name w:val="heading 2"/>
    <w:basedOn w:val="1"/>
    <w:next w:val="1"/>
    <w:link w:val="29"/>
    <w:qFormat/>
    <w:uiPriority w:val="9"/>
    <w:pPr>
      <w:numPr>
        <w:ilvl w:val="0"/>
        <w:numId w:val="1"/>
      </w:numPr>
      <w:spacing w:before="260" w:after="260"/>
      <w:ind w:hanging="420" w:firstLineChars="0"/>
      <w:outlineLvl w:val="1"/>
    </w:pPr>
    <w:rPr>
      <w:rFonts w:ascii="楷体" w:hAnsi="楷体" w:eastAsia="楷体" w:cs="楷体"/>
      <w:b/>
      <w:bCs/>
      <w:sz w:val="30"/>
      <w:szCs w:val="32"/>
    </w:rPr>
  </w:style>
  <w:style w:type="paragraph" w:styleId="5">
    <w:name w:val="heading 3"/>
    <w:basedOn w:val="1"/>
    <w:next w:val="1"/>
    <w:qFormat/>
    <w:uiPriority w:val="0"/>
    <w:pPr>
      <w:spacing w:before="260" w:after="260" w:line="413" w:lineRule="auto"/>
      <w:ind w:firstLine="200"/>
      <w:outlineLvl w:val="2"/>
    </w:pPr>
    <w:rPr>
      <w:rFonts w:eastAsia="仿宋_GB2312"/>
      <w:b/>
      <w:sz w:val="32"/>
      <w:szCs w:val="20"/>
    </w:rPr>
  </w:style>
  <w:style w:type="paragraph" w:styleId="6">
    <w:name w:val="heading 4"/>
    <w:next w:val="1"/>
    <w:unhideWhenUsed/>
    <w:qFormat/>
    <w:uiPriority w:val="9"/>
    <w:pPr>
      <w:keepNext/>
      <w:keepLines/>
      <w:numPr>
        <w:ilvl w:val="0"/>
        <w:numId w:val="2"/>
      </w:numPr>
      <w:spacing w:line="415" w:lineRule="auto"/>
      <w:ind w:right="100" w:rightChars="100"/>
      <w:outlineLvl w:val="3"/>
    </w:pPr>
    <w:rPr>
      <w:rFonts w:ascii="等线 Light" w:hAnsi="等线 Light" w:eastAsia="仿宋" w:cs="Times New Roman"/>
      <w:bCs/>
      <w:kern w:val="2"/>
      <w:sz w:val="28"/>
      <w:szCs w:val="28"/>
      <w:lang w:val="en-US" w:eastAsia="zh-CN" w:bidi="ar-SA"/>
    </w:rPr>
  </w:style>
  <w:style w:type="paragraph" w:styleId="7">
    <w:name w:val="heading 5"/>
    <w:basedOn w:val="1"/>
    <w:next w:val="1"/>
    <w:link w:val="27"/>
    <w:unhideWhenUsed/>
    <w:qFormat/>
    <w:uiPriority w:val="0"/>
    <w:pPr>
      <w:keepNext/>
      <w:keepLines/>
      <w:spacing w:before="280" w:after="290" w:line="376" w:lineRule="auto"/>
      <w:outlineLvl w:val="4"/>
    </w:pPr>
    <w:rPr>
      <w:b/>
      <w:bCs/>
      <w:szCs w:val="28"/>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style>
  <w:style w:type="paragraph" w:styleId="8">
    <w:name w:val="annotation text"/>
    <w:basedOn w:val="1"/>
    <w:link w:val="32"/>
    <w:qFormat/>
    <w:uiPriority w:val="0"/>
    <w:pPr>
      <w:jc w:val="left"/>
    </w:pPr>
  </w:style>
  <w:style w:type="paragraph" w:styleId="9">
    <w:name w:val="Balloon Text"/>
    <w:basedOn w:val="1"/>
    <w:next w:val="1"/>
    <w:unhideWhenUsed/>
    <w:qFormat/>
    <w:uiPriority w:val="99"/>
    <w:rPr>
      <w:sz w:val="18"/>
      <w:szCs w:val="18"/>
    </w:rPr>
  </w:style>
  <w:style w:type="paragraph" w:styleId="10">
    <w:name w:val="footer"/>
    <w:basedOn w:val="1"/>
    <w:link w:val="25"/>
    <w:qFormat/>
    <w:uiPriority w:val="99"/>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toc 1"/>
    <w:basedOn w:val="1"/>
    <w:next w:val="1"/>
    <w:qFormat/>
    <w:uiPriority w:val="0"/>
  </w:style>
  <w:style w:type="paragraph" w:styleId="13">
    <w:name w:val="toc 2"/>
    <w:basedOn w:val="1"/>
    <w:next w:val="1"/>
    <w:qFormat/>
    <w:uiPriority w:val="0"/>
    <w:pPr>
      <w:ind w:left="420" w:leftChars="200"/>
    </w:pPr>
  </w:style>
  <w:style w:type="paragraph" w:styleId="14">
    <w:name w:val="Normal (Web)"/>
    <w:basedOn w:val="1"/>
    <w:qFormat/>
    <w:uiPriority w:val="0"/>
    <w:pPr>
      <w:spacing w:beforeAutospacing="1" w:afterAutospacing="1"/>
      <w:jc w:val="left"/>
    </w:pPr>
    <w:rPr>
      <w:rFonts w:cs="Times New Roman"/>
      <w:kern w:val="0"/>
      <w:sz w:val="24"/>
    </w:rPr>
  </w:style>
  <w:style w:type="paragraph" w:styleId="15">
    <w:name w:val="Title"/>
    <w:basedOn w:val="1"/>
    <w:next w:val="1"/>
    <w:link w:val="26"/>
    <w:qFormat/>
    <w:uiPriority w:val="0"/>
    <w:pPr>
      <w:spacing w:before="240" w:after="60"/>
      <w:jc w:val="center"/>
      <w:outlineLvl w:val="0"/>
    </w:pPr>
    <w:rPr>
      <w:rFonts w:asciiTheme="majorHAnsi" w:hAnsiTheme="majorHAnsi" w:eastAsiaTheme="majorEastAsia" w:cstheme="majorBidi"/>
      <w:b/>
      <w:bCs/>
      <w:sz w:val="32"/>
      <w:szCs w:val="32"/>
    </w:rPr>
  </w:style>
  <w:style w:type="paragraph" w:styleId="16">
    <w:name w:val="annotation subject"/>
    <w:basedOn w:val="8"/>
    <w:next w:val="8"/>
    <w:link w:val="33"/>
    <w:qFormat/>
    <w:uiPriority w:val="0"/>
    <w:rPr>
      <w:b/>
      <w:bCs/>
    </w:rPr>
  </w:style>
  <w:style w:type="character" w:styleId="19">
    <w:name w:val="annotation reference"/>
    <w:basedOn w:val="18"/>
    <w:qFormat/>
    <w:uiPriority w:val="0"/>
    <w:rPr>
      <w:sz w:val="21"/>
      <w:szCs w:val="21"/>
    </w:rPr>
  </w:style>
  <w:style w:type="paragraph" w:customStyle="1" w:styleId="20">
    <w:name w:val="Char Char Char Char Char Char Char Char Char Char Char Char Char Char Char Char Char Char Char Char Char Char Char Char Char Char Char Char Char Char"/>
    <w:basedOn w:val="1"/>
    <w:qFormat/>
    <w:uiPriority w:val="0"/>
  </w:style>
  <w:style w:type="paragraph" w:customStyle="1" w:styleId="21">
    <w:name w:val="WPSOffice手动目录 2"/>
    <w:qFormat/>
    <w:uiPriority w:val="0"/>
    <w:pPr>
      <w:ind w:left="200" w:leftChars="200"/>
    </w:pPr>
    <w:rPr>
      <w:rFonts w:ascii="Times New Roman" w:hAnsi="Times New Roman" w:eastAsia="宋体" w:cs="Times New Roman"/>
      <w:lang w:val="en-US" w:eastAsia="zh-CN" w:bidi="ar-SA"/>
    </w:rPr>
  </w:style>
  <w:style w:type="paragraph" w:styleId="22">
    <w:name w:val="List Paragraph"/>
    <w:basedOn w:val="1"/>
    <w:qFormat/>
    <w:uiPriority w:val="99"/>
    <w:pPr>
      <w:ind w:firstLine="420"/>
    </w:pPr>
  </w:style>
  <w:style w:type="character" w:customStyle="1" w:styleId="23">
    <w:name w:val="font31"/>
    <w:basedOn w:val="18"/>
    <w:qFormat/>
    <w:uiPriority w:val="0"/>
    <w:rPr>
      <w:rFonts w:hint="default" w:ascii="Times New Roman" w:hAnsi="Times New Roman" w:cs="Times New Roman"/>
      <w:b/>
      <w:bCs/>
      <w:color w:val="000000"/>
      <w:sz w:val="21"/>
      <w:szCs w:val="21"/>
      <w:u w:val="none"/>
    </w:rPr>
  </w:style>
  <w:style w:type="character" w:customStyle="1" w:styleId="24">
    <w:name w:val="font21"/>
    <w:basedOn w:val="18"/>
    <w:qFormat/>
    <w:uiPriority w:val="0"/>
    <w:rPr>
      <w:rFonts w:ascii="仿宋" w:hAnsi="仿宋" w:eastAsia="仿宋" w:cs="仿宋"/>
      <w:color w:val="000000"/>
      <w:sz w:val="21"/>
      <w:szCs w:val="21"/>
      <w:u w:val="none"/>
    </w:rPr>
  </w:style>
  <w:style w:type="character" w:customStyle="1" w:styleId="25">
    <w:name w:val="页脚 字符"/>
    <w:basedOn w:val="18"/>
    <w:link w:val="10"/>
    <w:qFormat/>
    <w:uiPriority w:val="99"/>
    <w:rPr>
      <w:rFonts w:eastAsia="仿宋" w:cs="Calibri"/>
      <w:kern w:val="2"/>
      <w:sz w:val="18"/>
      <w:szCs w:val="22"/>
    </w:rPr>
  </w:style>
  <w:style w:type="character" w:customStyle="1" w:styleId="26">
    <w:name w:val="标题 字符"/>
    <w:basedOn w:val="18"/>
    <w:link w:val="15"/>
    <w:qFormat/>
    <w:uiPriority w:val="0"/>
    <w:rPr>
      <w:rFonts w:asciiTheme="majorHAnsi" w:hAnsiTheme="majorHAnsi" w:eastAsiaTheme="majorEastAsia" w:cstheme="majorBidi"/>
      <w:b/>
      <w:bCs/>
      <w:kern w:val="2"/>
      <w:sz w:val="32"/>
      <w:szCs w:val="32"/>
    </w:rPr>
  </w:style>
  <w:style w:type="character" w:customStyle="1" w:styleId="27">
    <w:name w:val="标题 5 字符"/>
    <w:basedOn w:val="18"/>
    <w:link w:val="7"/>
    <w:qFormat/>
    <w:uiPriority w:val="0"/>
    <w:rPr>
      <w:rFonts w:eastAsia="仿宋" w:cs="Calibri"/>
      <w:b/>
      <w:bCs/>
      <w:kern w:val="2"/>
      <w:sz w:val="28"/>
      <w:szCs w:val="28"/>
    </w:rPr>
  </w:style>
  <w:style w:type="paragraph" w:customStyle="1" w:styleId="28">
    <w:name w:val="标题1"/>
    <w:basedOn w:val="3"/>
    <w:next w:val="3"/>
    <w:link w:val="31"/>
    <w:qFormat/>
    <w:uiPriority w:val="0"/>
    <w:pPr>
      <w:numPr>
        <w:ilvl w:val="0"/>
        <w:numId w:val="3"/>
      </w:numPr>
      <w:pPrChange w:id="0" w:author="caichao" w:date="2021-06-09T16:42:00Z">
        <w:pPr>
          <w:widowControl w:val="0"/>
          <w:numPr>
            <w:numId w:val="3"/>
          </w:numPr>
          <w:spacing w:before="120" w:after="120" w:line="360" w:lineRule="auto"/>
          <w:ind w:left="420" w:hanging="420"/>
          <w:jc w:val="both"/>
          <w:outlineLvl w:val="0"/>
        </w:pPr>
      </w:pPrChange>
    </w:pPr>
    <w:rPr>
      <w:rPrChange w:id="1" w:author="caichao" w:date="2021-06-09T16:42:00Z">
        <w:rPr>
          <w:rFonts w:ascii="Calibri" w:hAnsi="Calibri" w:eastAsia="黑体" w:cs="楷体"/>
          <w:bCs/>
          <w:kern w:val="44"/>
          <w:sz w:val="36"/>
          <w:szCs w:val="44"/>
          <w:lang w:val="en-US" w:eastAsia="zh-CN" w:bidi="ar-SA"/>
        </w:rPr>
      </w:rPrChange>
    </w:rPr>
  </w:style>
  <w:style w:type="character" w:customStyle="1" w:styleId="29">
    <w:name w:val="标题 2 字符"/>
    <w:basedOn w:val="18"/>
    <w:link w:val="4"/>
    <w:qFormat/>
    <w:uiPriority w:val="9"/>
    <w:rPr>
      <w:rFonts w:ascii="楷体" w:hAnsi="楷体" w:eastAsia="楷体" w:cs="楷体"/>
      <w:b/>
      <w:bCs/>
      <w:kern w:val="2"/>
      <w:sz w:val="30"/>
      <w:szCs w:val="32"/>
    </w:rPr>
  </w:style>
  <w:style w:type="character" w:customStyle="1" w:styleId="30">
    <w:name w:val="标题 1 字符"/>
    <w:basedOn w:val="29"/>
    <w:link w:val="3"/>
    <w:qFormat/>
    <w:uiPriority w:val="0"/>
    <w:rPr>
      <w:rFonts w:ascii="Calibri" w:hAnsi="Calibri" w:eastAsia="黑体" w:cs="楷体"/>
      <w:b w:val="0"/>
      <w:kern w:val="44"/>
      <w:sz w:val="36"/>
      <w:szCs w:val="44"/>
    </w:rPr>
  </w:style>
  <w:style w:type="character" w:customStyle="1" w:styleId="31">
    <w:name w:val="标题1 字符"/>
    <w:basedOn w:val="30"/>
    <w:link w:val="28"/>
    <w:qFormat/>
    <w:uiPriority w:val="0"/>
    <w:rPr>
      <w:rFonts w:ascii="Calibri" w:hAnsi="Calibri" w:eastAsia="黑体" w:cs="楷体"/>
      <w:kern w:val="44"/>
      <w:sz w:val="36"/>
      <w:szCs w:val="44"/>
    </w:rPr>
  </w:style>
  <w:style w:type="character" w:customStyle="1" w:styleId="32">
    <w:name w:val="批注文字 字符"/>
    <w:basedOn w:val="18"/>
    <w:link w:val="8"/>
    <w:qFormat/>
    <w:uiPriority w:val="0"/>
    <w:rPr>
      <w:rFonts w:eastAsia="仿宋" w:cs="Calibri"/>
      <w:kern w:val="2"/>
      <w:sz w:val="28"/>
      <w:szCs w:val="22"/>
    </w:rPr>
  </w:style>
  <w:style w:type="character" w:customStyle="1" w:styleId="33">
    <w:name w:val="批注主题 字符"/>
    <w:basedOn w:val="32"/>
    <w:link w:val="16"/>
    <w:qFormat/>
    <w:uiPriority w:val="0"/>
    <w:rPr>
      <w:rFonts w:eastAsia="仿宋" w:cs="Calibri"/>
      <w:b/>
      <w:bCs/>
      <w:kern w:val="2"/>
      <w:sz w:val="28"/>
      <w:szCs w:val="22"/>
    </w:rPr>
  </w:style>
  <w:style w:type="paragraph" w:customStyle="1" w:styleId="34">
    <w:name w:val="修订1"/>
    <w:hidden/>
    <w:semiHidden/>
    <w:qFormat/>
    <w:uiPriority w:val="99"/>
    <w:rPr>
      <w:rFonts w:ascii="Times New Roman" w:hAnsi="Times New Roman" w:eastAsia="仿宋" w:cs="Calibri"/>
      <w:kern w:val="2"/>
      <w:sz w:val="28"/>
      <w:szCs w:val="22"/>
      <w:lang w:val="en-US" w:eastAsia="zh-CN" w:bidi="ar-SA"/>
    </w:rPr>
  </w:style>
  <w:style w:type="paragraph" w:customStyle="1" w:styleId="35">
    <w:name w:val="qowt-stl-正文"/>
    <w:basedOn w:val="1"/>
    <w:qFormat/>
    <w:uiPriority w:val="0"/>
    <w:pPr>
      <w:widowControl/>
      <w:spacing w:before="100" w:beforeAutospacing="1" w:after="100" w:afterAutospacing="1"/>
      <w:ind w:firstLine="0" w:firstLineChars="0"/>
      <w:jc w:val="left"/>
    </w:pPr>
    <w:rPr>
      <w:rFonts w:ascii="宋体" w:hAnsi="宋体" w:eastAsia="宋体" w:cs="宋体"/>
      <w:kern w:val="0"/>
      <w:sz w:val="24"/>
      <w:szCs w:val="24"/>
    </w:rPr>
  </w:style>
  <w:style w:type="character" w:customStyle="1" w:styleId="36">
    <w:name w:val="qowt-font8-gb2312"/>
    <w:basedOn w:val="18"/>
    <w:qFormat/>
    <w:uiPriority w:val="0"/>
  </w:style>
  <w:style w:type="character" w:customStyle="1" w:styleId="37">
    <w:name w:val="font01"/>
    <w:basedOn w:val="18"/>
    <w:qFormat/>
    <w:uiPriority w:val="0"/>
    <w:rPr>
      <w:rFonts w:ascii="仿宋" w:hAnsi="仿宋" w:eastAsia="仿宋" w:cs="仿宋"/>
      <w:color w:val="000000"/>
      <w:sz w:val="21"/>
      <w:szCs w:val="21"/>
      <w:u w:val="none"/>
    </w:rPr>
  </w:style>
  <w:style w:type="character" w:customStyle="1" w:styleId="38">
    <w:name w:val="font11"/>
    <w:basedOn w:val="18"/>
    <w:qFormat/>
    <w:uiPriority w:val="0"/>
    <w:rPr>
      <w:rFonts w:ascii="仿宋" w:hAnsi="仿宋" w:eastAsia="仿宋" w:cs="仿宋"/>
      <w:b/>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0C2ED0-F2B3-4503-922C-F3638B2A0319}">
  <ds:schemaRefs/>
</ds:datastoreItem>
</file>

<file path=docProps/app.xml><?xml version="1.0" encoding="utf-8"?>
<Properties xmlns="http://schemas.openxmlformats.org/officeDocument/2006/extended-properties" xmlns:vt="http://schemas.openxmlformats.org/officeDocument/2006/docPropsVTypes">
  <Template>Normal</Template>
  <Pages>20</Pages>
  <Words>7860</Words>
  <Characters>9607</Characters>
  <Lines>97</Lines>
  <Paragraphs>27</Paragraphs>
  <TotalTime>0</TotalTime>
  <ScaleCrop>false</ScaleCrop>
  <LinksUpToDate>false</LinksUpToDate>
  <CharactersWithSpaces>9613</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2021-06-17T05:06:00Z</dcterms:created>
  <dc:creator>CST</dc:creator>
  <cp:lastModifiedBy>WPS_1633705460</cp:lastModifiedBy>
  <dcterms:modified xsi:type="dcterms:W3CDTF">2024-05-09T06:19:32Z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6CDC6009F7E04F058744ECC02C33765B</vt:lpwstr>
  </property>
</Properties>
</file>