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1E18B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574786F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cs="方正小标宋简体"/>
          <w:sz w:val="44"/>
          <w:szCs w:val="44"/>
          <w:lang w:eastAsia="zh-CN"/>
        </w:rPr>
      </w:pPr>
      <w:r>
        <w:rPr>
          <w:rFonts w:hint="eastAsia" w:cs="方正小标宋简体"/>
          <w:sz w:val="44"/>
          <w:szCs w:val="44"/>
          <w:lang w:eastAsia="zh-CN"/>
        </w:rPr>
        <w:t>高明区</w:t>
      </w:r>
      <w:r>
        <w:rPr>
          <w:rFonts w:hint="eastAsia" w:cs="方正小标宋简体"/>
          <w:sz w:val="44"/>
          <w:szCs w:val="44"/>
          <w:lang w:val="en-US" w:eastAsia="zh-CN"/>
        </w:rPr>
        <w:t>先行赔付</w:t>
      </w:r>
      <w:r>
        <w:rPr>
          <w:rFonts w:hint="eastAsia" w:cs="方正小标宋简体"/>
          <w:sz w:val="44"/>
          <w:szCs w:val="44"/>
          <w:lang w:eastAsia="zh-CN"/>
        </w:rPr>
        <w:t>承诺书</w:t>
      </w:r>
    </w:p>
    <w:p w14:paraId="5F0EC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eastAsia" w:ascii="Times New Roman" w:hAnsi="Times New Roman" w:cs="Times New Roman"/>
        </w:rPr>
      </w:pPr>
    </w:p>
    <w:tbl>
      <w:tblPr>
        <w:tblStyle w:val="3"/>
        <w:tblW w:w="9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69"/>
      </w:tblGrid>
      <w:tr w14:paraId="3A0E7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5" w:hRule="atLeast"/>
          <w:jc w:val="center"/>
        </w:trPr>
        <w:tc>
          <w:tcPr>
            <w:tcW w:w="9269" w:type="dxa"/>
            <w:noWrap w:val="0"/>
            <w:vAlign w:val="center"/>
          </w:tcPr>
          <w:tbl>
            <w:tblPr>
              <w:tblStyle w:val="3"/>
              <w:tblpPr w:leftFromText="180" w:rightFromText="180" w:vertAnchor="text" w:horzAnchor="page" w:tblpX="11" w:tblpY="-8768"/>
              <w:tblOverlap w:val="never"/>
              <w:tblW w:w="92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320"/>
              <w:gridCol w:w="1290"/>
              <w:gridCol w:w="2434"/>
              <w:gridCol w:w="1539"/>
              <w:gridCol w:w="2689"/>
            </w:tblGrid>
            <w:tr w14:paraId="6BE65F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exact"/>
              </w:trPr>
              <w:tc>
                <w:tcPr>
                  <w:tcW w:w="2610" w:type="dxa"/>
                  <w:gridSpan w:val="2"/>
                  <w:noWrap w:val="0"/>
                  <w:vAlign w:val="center"/>
                </w:tcPr>
                <w:p w14:paraId="49E1B2BC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bidi="ar"/>
                    </w:rPr>
                    <w:t>经营者注册名称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759F0751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</w:rPr>
                  </w:pPr>
                </w:p>
              </w:tc>
            </w:tr>
            <w:tr w14:paraId="5A6400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exact"/>
              </w:trPr>
              <w:tc>
                <w:tcPr>
                  <w:tcW w:w="2610" w:type="dxa"/>
                  <w:gridSpan w:val="2"/>
                  <w:noWrap w:val="0"/>
                  <w:vAlign w:val="center"/>
                </w:tcPr>
                <w:p w14:paraId="0914969F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bidi="ar"/>
                    </w:rPr>
                    <w:t>统一社会信用代码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1CAE7BB6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</w:rPr>
                  </w:pPr>
                </w:p>
              </w:tc>
            </w:tr>
            <w:tr w14:paraId="4E25F9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exact"/>
              </w:trPr>
              <w:tc>
                <w:tcPr>
                  <w:tcW w:w="2610" w:type="dxa"/>
                  <w:gridSpan w:val="2"/>
                  <w:noWrap w:val="0"/>
                  <w:vAlign w:val="center"/>
                </w:tcPr>
                <w:p w14:paraId="6C8A6684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bidi="ar"/>
                    </w:rPr>
                    <w:t>经营场所地址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33F3935B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  <w:lang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  <w:lang w:eastAsia="zh-CN"/>
                    </w:rPr>
                    <w:t>佛山市高明区</w:t>
                  </w:r>
                </w:p>
              </w:tc>
            </w:tr>
            <w:tr w14:paraId="01012A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exact"/>
              </w:trPr>
              <w:tc>
                <w:tcPr>
                  <w:tcW w:w="2610" w:type="dxa"/>
                  <w:gridSpan w:val="2"/>
                  <w:noWrap w:val="0"/>
                  <w:vAlign w:val="center"/>
                </w:tcPr>
                <w:p w14:paraId="59BA50A8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  <w:lang w:eastAsia="zh-CN"/>
                    </w:rPr>
                    <w:t>业态类型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31D1F815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40" w:lineRule="exact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  <w:lang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□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val="en-US" w:eastAsia="zh-CN" w:bidi="ar"/>
                    </w:rPr>
                    <w:t xml:space="preserve">大型商场 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□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val="en-US" w:eastAsia="zh-CN" w:bidi="ar"/>
                    </w:rPr>
                    <w:t xml:space="preserve">街区 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□市场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□景区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bidi="ar"/>
                    </w:rPr>
                    <w:t xml:space="preserve"> □其他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类型</w:t>
                  </w:r>
                </w:p>
              </w:tc>
            </w:tr>
            <w:tr w14:paraId="0AC4D3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exact"/>
              </w:trPr>
              <w:tc>
                <w:tcPr>
                  <w:tcW w:w="2610" w:type="dxa"/>
                  <w:gridSpan w:val="2"/>
                  <w:noWrap w:val="0"/>
                  <w:vAlign w:val="center"/>
                </w:tcPr>
                <w:p w14:paraId="23EF4127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bidi="ar"/>
                    </w:rPr>
                    <w:t>负责人</w:t>
                  </w:r>
                </w:p>
              </w:tc>
              <w:tc>
                <w:tcPr>
                  <w:tcW w:w="2434" w:type="dxa"/>
                  <w:noWrap w:val="0"/>
                  <w:vAlign w:val="center"/>
                </w:tcPr>
                <w:p w14:paraId="42068322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1539" w:type="dxa"/>
                  <w:noWrap w:val="0"/>
                  <w:vAlign w:val="center"/>
                </w:tcPr>
                <w:p w14:paraId="242F9625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bCs/>
                      <w:color w:val="000000"/>
                      <w:sz w:val="30"/>
                      <w:szCs w:val="30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bCs/>
                      <w:color w:val="000000"/>
                      <w:kern w:val="0"/>
                      <w:sz w:val="30"/>
                      <w:szCs w:val="30"/>
                      <w:lang w:bidi="ar"/>
                    </w:rPr>
                    <w:t>联系电话</w:t>
                  </w:r>
                </w:p>
              </w:tc>
              <w:tc>
                <w:tcPr>
                  <w:tcW w:w="2689" w:type="dxa"/>
                  <w:noWrap w:val="0"/>
                  <w:vAlign w:val="center"/>
                </w:tcPr>
                <w:p w14:paraId="1F97EEB6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</w:rPr>
                  </w:pPr>
                </w:p>
              </w:tc>
            </w:tr>
            <w:tr w14:paraId="55EB388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exact"/>
              </w:trPr>
              <w:tc>
                <w:tcPr>
                  <w:tcW w:w="1320" w:type="dxa"/>
                  <w:vMerge w:val="restart"/>
                  <w:noWrap w:val="0"/>
                  <w:vAlign w:val="center"/>
                </w:tcPr>
                <w:p w14:paraId="787E99DD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  <w:lang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  <w:lang w:eastAsia="zh-CN"/>
                    </w:rPr>
                    <w:t>承诺事项及内容</w:t>
                  </w:r>
                </w:p>
              </w:tc>
              <w:tc>
                <w:tcPr>
                  <w:tcW w:w="1290" w:type="dxa"/>
                  <w:noWrap w:val="0"/>
                  <w:vAlign w:val="center"/>
                </w:tcPr>
                <w:p w14:paraId="79F324BD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  <w:lang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  <w:lang w:eastAsia="zh-CN"/>
                    </w:rPr>
                    <w:t>赔付额度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1611D4E6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sz w:val="30"/>
                      <w:szCs w:val="30"/>
                    </w:rPr>
                  </w:pPr>
                </w:p>
              </w:tc>
            </w:tr>
            <w:tr w14:paraId="132BE5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exact"/>
              </w:trPr>
              <w:tc>
                <w:tcPr>
                  <w:tcW w:w="1320" w:type="dxa"/>
                  <w:vMerge w:val="continue"/>
                  <w:noWrap w:val="0"/>
                  <w:vAlign w:val="center"/>
                </w:tcPr>
                <w:p w14:paraId="2633197E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1290" w:type="dxa"/>
                  <w:noWrap w:val="0"/>
                  <w:vAlign w:val="center"/>
                </w:tcPr>
                <w:p w14:paraId="15889CD5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2"/>
                      <w:sz w:val="30"/>
                      <w:szCs w:val="30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2"/>
                      <w:sz w:val="30"/>
                      <w:szCs w:val="30"/>
                      <w:lang w:val="en-US" w:eastAsia="zh-CN" w:bidi="ar-SA"/>
                    </w:rPr>
                    <w:t>处理时限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78A834DF">
                  <w:pPr>
                    <w:widowControl/>
                    <w:numPr>
                      <w:ilvl w:val="0"/>
                      <w:numId w:val="0"/>
                    </w:numPr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2"/>
                      <w:sz w:val="30"/>
                      <w:szCs w:val="30"/>
                      <w:lang w:val="en-US" w:eastAsia="zh-CN" w:bidi="ar-SA"/>
                    </w:rPr>
                  </w:pPr>
                </w:p>
              </w:tc>
            </w:tr>
            <w:tr w14:paraId="776EDC8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025" w:hRule="atLeast"/>
              </w:trPr>
              <w:tc>
                <w:tcPr>
                  <w:tcW w:w="1320" w:type="dxa"/>
                  <w:vMerge w:val="continue"/>
                  <w:noWrap w:val="0"/>
                  <w:vAlign w:val="center"/>
                </w:tcPr>
                <w:p w14:paraId="5134D924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1290" w:type="dxa"/>
                  <w:noWrap w:val="0"/>
                  <w:vAlign w:val="center"/>
                </w:tcPr>
                <w:p w14:paraId="75E5A0C6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启动赔付的条件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5F681731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val="en-US" w:eastAsia="zh-CN" w:bidi="ar"/>
                    </w:rPr>
                    <w:t>1.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消费者提供购货凭证或者服务单据等；</w:t>
                  </w:r>
                </w:p>
                <w:p w14:paraId="02D4A9F8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val="en-US" w:eastAsia="zh-CN" w:bidi="ar"/>
                    </w:rPr>
                    <w:t>2.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消费者合法权益受到损害；</w:t>
                  </w:r>
                </w:p>
                <w:p w14:paraId="1194BCAC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val="en-US" w:eastAsia="zh-CN" w:bidi="ar"/>
                    </w:rPr>
                    <w:t>3.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场内经营者负有赔偿责任的且存在故意拖延、无理拒绝或者因撤场等原因造成消费者难以索赔的情形。</w:t>
                  </w:r>
                </w:p>
              </w:tc>
            </w:tr>
            <w:tr w14:paraId="3B4A4D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191" w:hRule="atLeast"/>
              </w:trPr>
              <w:tc>
                <w:tcPr>
                  <w:tcW w:w="1320" w:type="dxa"/>
                  <w:vMerge w:val="continue"/>
                  <w:noWrap w:val="0"/>
                  <w:vAlign w:val="center"/>
                </w:tcPr>
                <w:p w14:paraId="096A5B6C">
                  <w:pPr>
                    <w:widowControl/>
                    <w:spacing w:line="300" w:lineRule="exact"/>
                    <w:jc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1290" w:type="dxa"/>
                  <w:noWrap w:val="0"/>
                  <w:vAlign w:val="center"/>
                </w:tcPr>
                <w:p w14:paraId="4FA9D358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赔付范围</w:t>
                  </w:r>
                </w:p>
              </w:tc>
              <w:tc>
                <w:tcPr>
                  <w:tcW w:w="6662" w:type="dxa"/>
                  <w:gridSpan w:val="3"/>
                  <w:noWrap w:val="0"/>
                  <w:vAlign w:val="center"/>
                </w:tcPr>
                <w:p w14:paraId="687E8B3A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bidi="ar"/>
                    </w:rPr>
                    <w:t>□因商品或者服务质量问题而引起的商品或者服务价值损失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（包括但不仅限于购买过期食品、“三无”产品或者因“短斤缺两”造成消费者损失的）；</w:t>
                  </w:r>
                </w:p>
                <w:p w14:paraId="712B2210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bidi="ar"/>
                    </w:rPr>
                    <w:t>□因售后、安装等问题而给消费者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带来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bidi="ar"/>
                    </w:rPr>
                    <w:t>的损失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；</w:t>
                  </w:r>
                </w:p>
                <w:p w14:paraId="199DB00E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0"/>
                      <w:szCs w:val="3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614680</wp:posOffset>
                            </wp:positionH>
                            <wp:positionV relativeFrom="paragraph">
                              <wp:posOffset>223520</wp:posOffset>
                            </wp:positionV>
                            <wp:extent cx="2484755" cy="10795"/>
                            <wp:effectExtent l="0" t="4445" r="10795" b="13335"/>
                            <wp:wrapNone/>
                            <wp:docPr id="1" name="直接连接符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3117850" y="8155940"/>
                                      <a:ext cx="2484755" cy="107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margin-left:48.4pt;margin-top:17.6pt;height:0.85pt;width:195.65pt;z-index:251659264;mso-width-relative:page;mso-height-relative:page;" filled="f" stroked="t" coordsize="21600,21600" o:gfxdata="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QmRiwdcAAAAIAQAADwAAAAAAAAABACAAAAAiAAAAZHJzL2Rvd25yZXYueG1sUEsBAhQAFAAAAAgA&#10;h07iQJdNfqjtAQAAuAMAAA4AAAAAAAAAAQAgAAAAJgEAAGRycy9lMm9Eb2MueG1sUEsFBgAAAAAG&#10;AAYAWQEAAIUFAAAAAA==&#10;">
                            <v:fill on="f" focussize="0,0"/>
                            <v:stroke color="#000000" joinstyle="round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bidi="ar"/>
                    </w:rPr>
                    <w:t>□</w:t>
                  </w: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30"/>
                      <w:szCs w:val="30"/>
                      <w:lang w:eastAsia="zh-CN" w:bidi="ar"/>
                    </w:rPr>
                    <w:t>其他</w:t>
                  </w:r>
                </w:p>
              </w:tc>
            </w:tr>
          </w:tbl>
          <w:p w14:paraId="71428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t>本单位郑重声明：</w:t>
            </w:r>
          </w:p>
          <w:p w14:paraId="03FEF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0" w:firstLineChars="20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 w:bidi="ar"/>
              </w:rPr>
              <w:t>决定建立并严格执行先行赔付制度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 w:bidi="ar"/>
              </w:rPr>
              <w:t>；</w:t>
            </w:r>
          </w:p>
          <w:p w14:paraId="6A67A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0" w:firstLineChars="20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t>2.所提交材料真实、准确，愿意接受消委会和行业协会指导，遵守承诺活动规则，并接受社会各界和广大消费者监督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 w:bidi="ar"/>
              </w:rPr>
              <w:t>；</w:t>
            </w:r>
          </w:p>
          <w:p w14:paraId="396CC2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0" w:firstLineChars="20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t>3.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 w:bidi="ar"/>
              </w:rPr>
              <w:t>近两年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t>未被列入经营异常名录或者严重违法企业名单，未被列入政府部门其他失信“黑名单”。</w:t>
            </w:r>
          </w:p>
          <w:p w14:paraId="7E903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 w:bidi="ar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bidi="ar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 w:bidi="ar"/>
              </w:rPr>
              <w:t>承诺单位（签章）：</w:t>
            </w:r>
          </w:p>
          <w:p w14:paraId="12A26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00" w:firstLineChars="1800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 w:bidi="ar"/>
              </w:rPr>
              <w:t xml:space="preserve">日期： </w:t>
            </w:r>
          </w:p>
        </w:tc>
      </w:tr>
    </w:tbl>
    <w:p w14:paraId="486386E5"/>
    <w:sectPr>
      <w:pgSz w:w="11906" w:h="16838"/>
      <w:pgMar w:top="1383" w:right="1633" w:bottom="138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73726"/>
    <w:rsid w:val="38C73726"/>
    <w:rsid w:val="46C6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line="600" w:lineRule="exact"/>
      <w:jc w:val="center"/>
      <w:outlineLvl w:val="0"/>
    </w:pPr>
    <w:rPr>
      <w:rFonts w:ascii="方正小标宋简体" w:hAnsi="方正小标宋简体" w:eastAsia="方正小标宋简体" w:cs="Times New Roman"/>
      <w:kern w:val="44"/>
      <w:sz w:val="4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区委区府办</Company>
  <Pages>1</Pages>
  <Words>395</Words>
  <Characters>401</Characters>
  <Lines>0</Lines>
  <Paragraphs>0</Paragraphs>
  <TotalTime>0</TotalTime>
  <ScaleCrop>false</ScaleCrop>
  <LinksUpToDate>false</LinksUpToDate>
  <CharactersWithSpaces>430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2025-07-24T03:36:00Z</dcterms:created>
  <dc:creator>消费者权益保护股</dc:creator>
  <cp:lastModifiedBy>消费者权益保护股</cp:lastModifiedBy>
  <dcterms:modified xsi:type="dcterms:W3CDTF">2025-07-24T03:47:39Z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3AE5F1A4662B4C3BBD9EC9F9BAB70898_11</vt:lpwstr>
  </property>
  <property fmtid="{D5CDD505-2E9C-101B-9397-08002B2CF9AE}" pid="4" name="KSOTemplateDocerSaveRecord">
    <vt:lpwstr>eyJoZGlkIjoiOTlmNjcyNzNmYmU1MzRlYWI1M2I4ZDU0Y2M0ZmEwMWEiLCJ1c2VySWQiOiIyMDUyNDQ2MDEifQ==</vt:lpwstr>
  </property>
</Properties>
</file>