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9557B6">
      <w:pPr>
        <w:keepNext w:val="0"/>
        <w:keepLines w:val="0"/>
        <w:pageBreakBefore w:val="0"/>
        <w:widowControl w:val="0"/>
        <w:kinsoku/>
        <w:wordWrap/>
        <w:overflowPunct/>
        <w:topLinePunct w:val="0"/>
        <w:autoSpaceDE/>
        <w:autoSpaceDN/>
        <w:bidi w:val="0"/>
        <w:adjustRightInd/>
        <w:snapToGrid w:val="0"/>
        <w:spacing w:after="0" w:line="520" w:lineRule="exact"/>
        <w:ind w:left="0"/>
        <w:textAlignment w:val="auto"/>
        <w:rPr>
          <w:rFonts w:hint="eastAsia" w:ascii="Times New Roman" w:hAnsi="Times New Roman" w:eastAsia="黑体"/>
          <w:b/>
          <w:bCs/>
          <w:color w:val="C00000"/>
          <w:spacing w:val="0"/>
          <w:kern w:val="2"/>
          <w:sz w:val="44"/>
          <w:szCs w:val="44"/>
          <w:lang w:eastAsia="zh-CN"/>
        </w:rPr>
      </w:pPr>
      <w:r>
        <w:rPr>
          <w:rFonts w:hint="eastAsia" w:ascii="Times New Roman" w:hAnsi="Times New Roman" w:eastAsia="黑体"/>
          <w:b/>
          <w:bCs/>
          <w:color w:val="C00000"/>
          <w:spacing w:val="0"/>
          <w:kern w:val="2"/>
          <w:sz w:val="44"/>
          <w:szCs w:val="44"/>
          <w:lang w:eastAsia="zh-CN"/>
        </w:rPr>
        <w:t>和公资协20</w:t>
      </w:r>
      <w:r>
        <w:rPr>
          <w:rFonts w:hint="eastAsia" w:ascii="Times New Roman" w:hAnsi="Times New Roman" w:eastAsia="黑体"/>
          <w:b/>
          <w:bCs/>
          <w:color w:val="C00000"/>
          <w:spacing w:val="0"/>
          <w:kern w:val="2"/>
          <w:sz w:val="44"/>
          <w:szCs w:val="44"/>
          <w:lang w:val="en-US" w:eastAsia="zh-CN"/>
        </w:rPr>
        <w:t>25</w:t>
      </w:r>
      <w:r>
        <w:rPr>
          <w:rFonts w:hint="eastAsia" w:ascii="Times New Roman" w:hAnsi="Times New Roman" w:eastAsia="黑体"/>
          <w:b/>
          <w:bCs/>
          <w:color w:val="C00000"/>
          <w:spacing w:val="0"/>
          <w:kern w:val="2"/>
          <w:sz w:val="44"/>
          <w:szCs w:val="44"/>
          <w:lang w:eastAsia="zh-CN"/>
        </w:rPr>
        <w:t>年</w:t>
      </w:r>
      <w:r>
        <w:rPr>
          <w:rFonts w:hint="eastAsia" w:ascii="Times New Roman" w:hAnsi="Times New Roman" w:eastAsia="黑体"/>
          <w:b/>
          <w:bCs/>
          <w:color w:val="C00000"/>
          <w:spacing w:val="0"/>
          <w:kern w:val="2"/>
          <w:sz w:val="44"/>
          <w:szCs w:val="44"/>
          <w:lang w:val="en-US" w:eastAsia="zh-CN"/>
        </w:rPr>
        <w:t xml:space="preserve">    </w:t>
      </w:r>
      <w:r>
        <w:rPr>
          <w:rFonts w:hint="eastAsia" w:ascii="Times New Roman" w:hAnsi="Times New Roman" w:eastAsia="黑体"/>
          <w:b/>
          <w:bCs/>
          <w:color w:val="C00000"/>
          <w:spacing w:val="0"/>
          <w:kern w:val="2"/>
          <w:sz w:val="44"/>
          <w:szCs w:val="44"/>
          <w:lang w:eastAsia="zh-CN"/>
        </w:rPr>
        <w:t>号</w:t>
      </w:r>
    </w:p>
    <w:p w14:paraId="74F73058">
      <w:pPr>
        <w:keepNext w:val="0"/>
        <w:keepLines w:val="0"/>
        <w:pageBreakBefore w:val="0"/>
        <w:widowControl w:val="0"/>
        <w:kinsoku/>
        <w:wordWrap/>
        <w:overflowPunct/>
        <w:topLinePunct w:val="0"/>
        <w:autoSpaceDE/>
        <w:autoSpaceDN/>
        <w:bidi w:val="0"/>
        <w:adjustRightInd/>
        <w:snapToGrid w:val="0"/>
        <w:spacing w:after="0" w:line="520" w:lineRule="exact"/>
        <w:ind w:left="0"/>
        <w:jc w:val="center"/>
        <w:textAlignment w:val="auto"/>
        <w:rPr>
          <w:rFonts w:hint="eastAsia" w:ascii="Times New Roman" w:hAnsi="Times New Roman" w:eastAsia="黑体"/>
          <w:b/>
          <w:bCs/>
          <w:color w:val="000000"/>
          <w:spacing w:val="0"/>
          <w:kern w:val="2"/>
          <w:sz w:val="44"/>
          <w:szCs w:val="44"/>
          <w:lang w:val="en-US" w:eastAsia="zh-CN"/>
        </w:rPr>
      </w:pPr>
    </w:p>
    <w:p w14:paraId="0B17A80E">
      <w:pPr>
        <w:keepNext w:val="0"/>
        <w:keepLines w:val="0"/>
        <w:pageBreakBefore w:val="0"/>
        <w:widowControl w:val="0"/>
        <w:kinsoku/>
        <w:wordWrap/>
        <w:overflowPunct/>
        <w:topLinePunct w:val="0"/>
        <w:autoSpaceDE/>
        <w:autoSpaceDN/>
        <w:bidi w:val="0"/>
        <w:adjustRightInd/>
        <w:snapToGrid w:val="0"/>
        <w:spacing w:after="0" w:line="520" w:lineRule="exact"/>
        <w:ind w:left="0"/>
        <w:jc w:val="center"/>
        <w:textAlignment w:val="auto"/>
        <w:rPr>
          <w:rFonts w:hint="eastAsia" w:ascii="Times New Roman" w:hAnsi="Times New Roman" w:eastAsia="黑体"/>
          <w:b/>
          <w:bCs/>
          <w:color w:val="000000"/>
          <w:spacing w:val="0"/>
          <w:kern w:val="2"/>
          <w:sz w:val="44"/>
          <w:szCs w:val="44"/>
          <w:lang w:eastAsia="zh-CN"/>
        </w:rPr>
      </w:pPr>
      <w:r>
        <w:rPr>
          <w:rFonts w:hint="eastAsia" w:ascii="Times New Roman" w:hAnsi="Times New Roman" w:eastAsia="黑体"/>
          <w:b/>
          <w:bCs/>
          <w:color w:val="000000"/>
          <w:spacing w:val="0"/>
          <w:kern w:val="2"/>
          <w:sz w:val="44"/>
          <w:szCs w:val="44"/>
          <w:lang w:val="en-US" w:eastAsia="zh-CN"/>
        </w:rPr>
        <w:t>商铺</w:t>
      </w:r>
      <w:r>
        <w:rPr>
          <w:rFonts w:hint="eastAsia" w:ascii="Times New Roman" w:hAnsi="Times New Roman" w:eastAsia="黑体"/>
          <w:b/>
          <w:bCs/>
          <w:color w:val="000000"/>
          <w:spacing w:val="0"/>
          <w:kern w:val="2"/>
          <w:sz w:val="44"/>
          <w:szCs w:val="44"/>
          <w:lang w:eastAsia="zh-CN"/>
        </w:rPr>
        <w:t>租赁合同</w:t>
      </w:r>
    </w:p>
    <w:p w14:paraId="1EA3597A">
      <w:pPr>
        <w:keepNext w:val="0"/>
        <w:keepLines w:val="0"/>
        <w:pageBreakBefore w:val="0"/>
        <w:widowControl w:val="0"/>
        <w:kinsoku/>
        <w:wordWrap/>
        <w:overflowPunct/>
        <w:topLinePunct w:val="0"/>
        <w:autoSpaceDE/>
        <w:autoSpaceDN/>
        <w:bidi w:val="0"/>
        <w:adjustRightInd/>
        <w:snapToGrid w:val="0"/>
        <w:spacing w:after="0" w:line="520" w:lineRule="exact"/>
        <w:ind w:left="0"/>
        <w:jc w:val="center"/>
        <w:textAlignment w:val="auto"/>
        <w:rPr>
          <w:rFonts w:hint="eastAsia" w:ascii="Times New Roman" w:hAnsi="Times New Roman" w:eastAsia="仿宋_GB2312"/>
          <w:bCs/>
          <w:color w:val="000000"/>
          <w:spacing w:val="0"/>
          <w:kern w:val="2"/>
          <w:sz w:val="28"/>
          <w:szCs w:val="28"/>
          <w:lang w:eastAsia="zh-CN"/>
        </w:rPr>
      </w:pPr>
      <w:r>
        <w:rPr>
          <w:rFonts w:hint="eastAsia" w:ascii="Times New Roman" w:hAnsi="Times New Roman" w:eastAsia="仿宋_GB2312"/>
          <w:bCs/>
          <w:color w:val="000000"/>
          <w:spacing w:val="0"/>
          <w:kern w:val="2"/>
          <w:sz w:val="28"/>
          <w:szCs w:val="28"/>
          <w:lang w:eastAsia="zh-CN"/>
        </w:rPr>
        <w:t xml:space="preserve">          　　　　　　　　　　</w:t>
      </w:r>
    </w:p>
    <w:p w14:paraId="220137A6">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0" w:firstLineChars="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28"/>
          <w:szCs w:val="28"/>
          <w:highlight w:val="none"/>
          <w:lang w:val="en-US" w:eastAsia="zh-CN"/>
        </w:rPr>
        <w:t>出租方（甲方）：</w:t>
      </w:r>
      <w:r>
        <w:rPr>
          <w:rFonts w:hint="eastAsia" w:ascii="仿宋_GB2312" w:hAnsi="仿宋_GB2312" w:eastAsia="仿宋_GB2312" w:cs="仿宋_GB2312"/>
          <w:spacing w:val="0"/>
          <w:kern w:val="2"/>
          <w:sz w:val="30"/>
          <w:szCs w:val="30"/>
          <w:highlight w:val="none"/>
          <w:lang w:val="en-US" w:eastAsia="zh-CN"/>
        </w:rPr>
        <w:t>佛山市高明区杨和镇和兴顺建设投资有限公司</w:t>
      </w:r>
    </w:p>
    <w:p w14:paraId="22B9F93C">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0" w:firstLineChars="0"/>
        <w:jc w:val="both"/>
        <w:textAlignment w:val="auto"/>
        <w:rPr>
          <w:rFonts w:hint="default"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统一社会信用代码：</w:t>
      </w:r>
      <w:r>
        <w:rPr>
          <w:rFonts w:hint="eastAsia" w:ascii="仿宋_GB2312" w:hAnsi="仿宋_GB2312" w:eastAsia="仿宋_GB2312" w:cs="仿宋_GB2312"/>
          <w:spacing w:val="0"/>
          <w:kern w:val="2"/>
          <w:sz w:val="30"/>
          <w:szCs w:val="30"/>
          <w:highlight w:val="none"/>
          <w:lang w:val="en-US" w:eastAsia="zh-CN"/>
        </w:rPr>
        <w:tab/>
      </w:r>
      <w:r>
        <w:rPr>
          <w:rFonts w:hint="eastAsia" w:ascii="仿宋_GB2312" w:hAnsi="仿宋_GB2312" w:eastAsia="仿宋_GB2312" w:cs="仿宋_GB2312"/>
          <w:spacing w:val="0"/>
          <w:kern w:val="2"/>
          <w:sz w:val="28"/>
          <w:szCs w:val="28"/>
          <w:highlight w:val="none"/>
          <w:lang w:val="en-US" w:eastAsia="zh-CN"/>
        </w:rPr>
        <w:tab/>
      </w:r>
      <w:r>
        <w:rPr>
          <w:rFonts w:hint="eastAsia" w:ascii="仿宋_GB2312" w:hAnsi="仿宋_GB2312" w:eastAsia="仿宋_GB2312" w:cs="仿宋_GB2312"/>
          <w:spacing w:val="0"/>
          <w:kern w:val="2"/>
          <w:sz w:val="28"/>
          <w:szCs w:val="28"/>
          <w:highlight w:val="none"/>
          <w:lang w:val="en-US" w:eastAsia="zh-CN"/>
        </w:rPr>
        <w:tab/>
      </w:r>
    </w:p>
    <w:p w14:paraId="3164B19D">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0" w:firstLineChars="0"/>
        <w:jc w:val="both"/>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28"/>
          <w:szCs w:val="28"/>
          <w:highlight w:val="none"/>
          <w:lang w:val="en-US" w:eastAsia="zh-CN"/>
        </w:rPr>
        <w:t>住所：</w:t>
      </w:r>
    </w:p>
    <w:p w14:paraId="2C2C639B">
      <w:pPr>
        <w:keepNext w:val="0"/>
        <w:keepLines w:val="0"/>
        <w:pageBreakBefore w:val="0"/>
        <w:widowControl w:val="0"/>
        <w:kinsoku/>
        <w:wordWrap/>
        <w:overflowPunct/>
        <w:topLinePunct w:val="0"/>
        <w:autoSpaceDE/>
        <w:autoSpaceDN/>
        <w:bidi w:val="0"/>
        <w:adjustRightInd/>
        <w:snapToGrid w:val="0"/>
        <w:spacing w:after="0" w:afterLines="0" w:afterAutospacing="0" w:line="52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p>
    <w:p w14:paraId="266848E0">
      <w:pPr>
        <w:keepNext w:val="0"/>
        <w:keepLines w:val="0"/>
        <w:pageBreakBefore w:val="0"/>
        <w:widowControl w:val="0"/>
        <w:kinsoku/>
        <w:wordWrap/>
        <w:overflowPunct/>
        <w:topLinePunct w:val="0"/>
        <w:autoSpaceDE/>
        <w:autoSpaceDN/>
        <w:bidi w:val="0"/>
        <w:adjustRightInd/>
        <w:snapToGrid w:val="0"/>
        <w:spacing w:after="0" w:afterLines="0" w:afterAutospacing="0" w:line="520" w:lineRule="exact"/>
        <w:ind w:left="0" w:leftChars="0" w:firstLine="0" w:firstLineChars="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承租方（乙方）：</w:t>
      </w:r>
      <w:r>
        <w:rPr>
          <w:rFonts w:hint="eastAsia" w:ascii="仿宋_GB2312" w:hAnsi="仿宋_GB2312" w:eastAsia="仿宋_GB2312" w:cs="仿宋_GB2312"/>
          <w:b w:val="0"/>
          <w:bCs w:val="0"/>
          <w:spacing w:val="0"/>
          <w:kern w:val="2"/>
          <w:sz w:val="28"/>
          <w:szCs w:val="28"/>
          <w:highlight w:val="none"/>
          <w:u w:val="none"/>
          <w:lang w:val="en-US" w:eastAsia="zh-CN"/>
        </w:rPr>
        <w:t xml:space="preserve"> </w:t>
      </w:r>
      <w:r>
        <w:rPr>
          <w:rFonts w:hint="eastAsia" w:ascii="仿宋_GB2312" w:hAnsi="仿宋_GB2312" w:eastAsia="仿宋_GB2312" w:cs="仿宋_GB2312"/>
          <w:spacing w:val="0"/>
          <w:kern w:val="2"/>
          <w:sz w:val="28"/>
          <w:szCs w:val="28"/>
          <w:highlight w:val="none"/>
          <w:lang w:val="en-US" w:eastAsia="zh-CN"/>
        </w:rPr>
        <w:t xml:space="preserve">         </w:t>
      </w:r>
    </w:p>
    <w:p w14:paraId="2452D22C">
      <w:pPr>
        <w:keepNext w:val="0"/>
        <w:keepLines w:val="0"/>
        <w:pageBreakBefore w:val="0"/>
        <w:widowControl w:val="0"/>
        <w:kinsoku/>
        <w:wordWrap/>
        <w:overflowPunct/>
        <w:topLinePunct w:val="0"/>
        <w:autoSpaceDE/>
        <w:autoSpaceDN/>
        <w:bidi w:val="0"/>
        <w:adjustRightInd/>
        <w:snapToGrid w:val="0"/>
        <w:spacing w:after="0" w:afterLines="0" w:afterAutospacing="0" w:line="520" w:lineRule="exact"/>
        <w:ind w:left="0" w:leftChars="0" w:firstLine="0" w:firstLineChars="0"/>
        <w:jc w:val="both"/>
        <w:textAlignment w:val="auto"/>
        <w:rPr>
          <w:rFonts w:hint="eastAsia" w:ascii="宋体" w:hAnsi="宋体" w:eastAsia="宋体" w:cs="宋体"/>
          <w:b w:val="0"/>
          <w:bCs w:val="0"/>
          <w:spacing w:val="0"/>
          <w:kern w:val="2"/>
          <w:sz w:val="28"/>
          <w:szCs w:val="28"/>
          <w:highlight w:val="none"/>
          <w:u w:val="none"/>
          <w:lang w:val="en-US" w:eastAsia="zh-CN"/>
        </w:rPr>
      </w:pPr>
      <w:r>
        <w:rPr>
          <w:rFonts w:hint="eastAsia" w:ascii="仿宋_GB2312" w:hAnsi="仿宋_GB2312" w:eastAsia="仿宋_GB2312" w:cs="仿宋_GB2312"/>
          <w:spacing w:val="0"/>
          <w:kern w:val="2"/>
          <w:sz w:val="28"/>
          <w:szCs w:val="28"/>
          <w:highlight w:val="none"/>
          <w:lang w:val="en-US" w:eastAsia="zh-CN"/>
        </w:rPr>
        <w:t>身份证号码/统一社会信用代码：</w:t>
      </w:r>
    </w:p>
    <w:p w14:paraId="05D522EF">
      <w:pPr>
        <w:keepNext w:val="0"/>
        <w:keepLines w:val="0"/>
        <w:pageBreakBefore w:val="0"/>
        <w:widowControl w:val="0"/>
        <w:kinsoku/>
        <w:wordWrap/>
        <w:overflowPunct/>
        <w:topLinePunct w:val="0"/>
        <w:autoSpaceDE/>
        <w:autoSpaceDN/>
        <w:bidi w:val="0"/>
        <w:adjustRightInd/>
        <w:snapToGrid w:val="0"/>
        <w:spacing w:after="0" w:afterLines="0" w:afterAutospacing="0" w:line="520" w:lineRule="exact"/>
        <w:ind w:left="0" w:leftChars="0" w:firstLine="0" w:firstLineChars="0"/>
        <w:jc w:val="both"/>
        <w:textAlignment w:val="auto"/>
        <w:rPr>
          <w:rFonts w:hint="eastAsia" w:ascii="宋体" w:hAnsi="宋体" w:eastAsia="宋体" w:cs="宋体"/>
          <w:spacing w:val="0"/>
          <w:kern w:val="2"/>
          <w:sz w:val="28"/>
          <w:szCs w:val="28"/>
          <w:highlight w:val="none"/>
          <w:u w:val="none"/>
          <w:lang w:val="en-US" w:eastAsia="zh-CN"/>
        </w:rPr>
      </w:pPr>
      <w:r>
        <w:rPr>
          <w:rFonts w:hint="eastAsia" w:ascii="仿宋_GB2312" w:hAnsi="仿宋_GB2312" w:eastAsia="仿宋_GB2312" w:cs="仿宋_GB2312"/>
          <w:spacing w:val="0"/>
          <w:kern w:val="2"/>
          <w:sz w:val="28"/>
          <w:szCs w:val="28"/>
          <w:highlight w:val="none"/>
          <w:lang w:val="en-US" w:eastAsia="zh-CN"/>
        </w:rPr>
        <w:t>住址/住所：</w:t>
      </w:r>
    </w:p>
    <w:p w14:paraId="1607BC47">
      <w:pPr>
        <w:keepNext w:val="0"/>
        <w:keepLines w:val="0"/>
        <w:pageBreakBefore w:val="0"/>
        <w:widowControl w:val="0"/>
        <w:kinsoku/>
        <w:wordWrap/>
        <w:overflowPunct/>
        <w:topLinePunct w:val="0"/>
        <w:autoSpaceDE/>
        <w:autoSpaceDN/>
        <w:bidi w:val="0"/>
        <w:adjustRightInd/>
        <w:snapToGrid w:val="0"/>
        <w:spacing w:after="0" w:afterLines="0" w:afterAutospacing="0" w:line="52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p>
    <w:p w14:paraId="2A27DE96">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600" w:firstLineChars="20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根据《中华人民共和国民法典》及相关法律法规的规定，为明确甲、乙双方权利及义务，本着平等、自愿、公平、诚信、有偿的原则，经甲乙双方协商一致，就佛山市高明区杨和镇杜鹃路（原小水电楼）第4间-第5间商铺出租事宜，达成以下条款：</w:t>
      </w:r>
    </w:p>
    <w:p w14:paraId="187B6C16">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250"/>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第一条 租赁物位置及面积</w:t>
      </w:r>
    </w:p>
    <w:p w14:paraId="6833FDEE">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600" w:firstLineChars="20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1.租赁地址：</w:t>
      </w:r>
      <w:bookmarkStart w:id="0" w:name="_Hlk169729101"/>
      <w:r>
        <w:rPr>
          <w:rFonts w:hint="eastAsia" w:ascii="仿宋_GB2312" w:hAnsi="仿宋_GB2312" w:eastAsia="仿宋_GB2312" w:cs="仿宋_GB2312"/>
          <w:spacing w:val="0"/>
          <w:kern w:val="2"/>
          <w:sz w:val="30"/>
          <w:szCs w:val="30"/>
          <w:highlight w:val="none"/>
          <w:lang w:val="en-US" w:eastAsia="zh-CN"/>
        </w:rPr>
        <w:t xml:space="preserve"> 佛山市高明区</w:t>
      </w:r>
      <w:bookmarkEnd w:id="0"/>
      <w:r>
        <w:rPr>
          <w:rFonts w:hint="eastAsia" w:ascii="仿宋_GB2312" w:hAnsi="仿宋_GB2312" w:eastAsia="仿宋_GB2312" w:cs="仿宋_GB2312"/>
          <w:spacing w:val="0"/>
          <w:kern w:val="2"/>
          <w:sz w:val="30"/>
          <w:szCs w:val="30"/>
          <w:highlight w:val="none"/>
          <w:lang w:val="en-US" w:eastAsia="zh-CN"/>
        </w:rPr>
        <w:t>杨和镇杜鹃路（原小水电楼）第4间-第5间（以下简称商铺）。</w:t>
      </w:r>
    </w:p>
    <w:p w14:paraId="59D6DD78">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600" w:firstLineChars="20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2.租赁面积：该商铺出租面积为200平方米（具体见附件：1、商铺实景图）。</w:t>
      </w:r>
    </w:p>
    <w:p w14:paraId="00336E78">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600" w:firstLineChars="200"/>
        <w:jc w:val="both"/>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3.在签订本合同前，乙方已清晰该经营场所面积、周边环境及现状等情况，甲方按现状交付乙方，乙方无异议自愿承租该商铺。</w:t>
      </w:r>
    </w:p>
    <w:p w14:paraId="75DF8FDE">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250"/>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第二条 租期</w:t>
      </w:r>
    </w:p>
    <w:p w14:paraId="22D6C422">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甲方把上述商铺租赁给乙方，租赁期自2026年1月1日至2027年12月31日止。租赁期限为2年，前述合同期届满合同即时终止。</w:t>
      </w:r>
    </w:p>
    <w:p w14:paraId="68D7D689">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562" w:firstLineChars="200"/>
        <w:textAlignment w:val="auto"/>
        <w:rPr>
          <w:rFonts w:hint="eastAsia" w:ascii="仿宋" w:hAnsi="仿宋" w:eastAsia="仿宋_GB2312" w:cs="仿宋"/>
          <w:b w:val="0"/>
          <w:bCs/>
          <w:spacing w:val="0"/>
          <w:sz w:val="28"/>
          <w:szCs w:val="28"/>
          <w:lang w:val="en-US" w:eastAsia="zh-CN"/>
        </w:rPr>
      </w:pPr>
      <w:r>
        <w:rPr>
          <w:rFonts w:hint="eastAsia" w:ascii="仿宋_GB2312" w:hAnsi="仿宋_GB2312" w:eastAsia="仿宋_GB2312" w:cs="仿宋_GB2312"/>
          <w:b/>
          <w:bCs/>
          <w:spacing w:val="0"/>
          <w:kern w:val="2"/>
          <w:sz w:val="28"/>
          <w:szCs w:val="28"/>
          <w:highlight w:val="none"/>
          <w:lang w:val="en-US" w:eastAsia="zh-CN"/>
        </w:rPr>
        <w:t>第三条 用途</w:t>
      </w:r>
    </w:p>
    <w:p w14:paraId="1655164C">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该商铺乙方可用于申请烟花爆竹经营（零售）项目。但要经过政府有关监管部门审核批准并领取《营业执照》、</w:t>
      </w:r>
      <w:r>
        <w:rPr>
          <w:rFonts w:hint="default" w:ascii="仿宋_GB2312" w:hAnsi="仿宋_GB2312" w:eastAsia="仿宋_GB2312" w:cs="仿宋_GB2312"/>
          <w:spacing w:val="0"/>
          <w:kern w:val="2"/>
          <w:sz w:val="30"/>
          <w:szCs w:val="30"/>
          <w:highlight w:val="none"/>
          <w:lang w:val="en-US" w:eastAsia="zh-CN"/>
        </w:rPr>
        <w:t>《烟花爆竹经营(零售)许可证》</w:t>
      </w:r>
      <w:r>
        <w:rPr>
          <w:rFonts w:hint="eastAsia" w:ascii="仿宋_GB2312" w:hAnsi="仿宋_GB2312" w:eastAsia="仿宋_GB2312" w:cs="仿宋_GB2312"/>
          <w:spacing w:val="0"/>
          <w:kern w:val="2"/>
          <w:sz w:val="30"/>
          <w:szCs w:val="30"/>
          <w:highlight w:val="none"/>
          <w:lang w:val="en-US" w:eastAsia="zh-CN"/>
        </w:rPr>
        <w:t>及相关许可后方可营业（因乙方自身条件不符合审批要求而未能领取经营证、照的，一切责任自负）。经营过程要遵守国家法律、法规及地方政府的管理政策，服从管理部门监管。</w:t>
      </w:r>
    </w:p>
    <w:p w14:paraId="0D2849AE">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第四条 履约保证金</w:t>
      </w:r>
    </w:p>
    <w:p w14:paraId="6D98F1D5">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签订本合同后5天内乙方须向甲方支付履约保证金</w:t>
      </w:r>
      <w:r>
        <w:rPr>
          <w:rFonts w:hint="default" w:ascii="仿宋_GB2312" w:hAnsi="仿宋_GB2312" w:eastAsia="仿宋_GB2312" w:cs="仿宋_GB2312"/>
          <w:spacing w:val="0"/>
          <w:kern w:val="2"/>
          <w:sz w:val="30"/>
          <w:szCs w:val="30"/>
          <w:highlight w:val="none"/>
          <w:lang w:val="en-US" w:eastAsia="zh-CN"/>
        </w:rPr>
        <w:t>¥</w:t>
      </w:r>
      <w:r>
        <w:rPr>
          <w:rFonts w:hint="eastAsia" w:ascii="仿宋_GB2312" w:hAnsi="仿宋_GB2312" w:eastAsia="仿宋_GB2312" w:cs="仿宋_GB2312"/>
          <w:spacing w:val="0"/>
          <w:kern w:val="2"/>
          <w:sz w:val="30"/>
          <w:szCs w:val="30"/>
          <w:highlight w:val="none"/>
          <w:lang w:val="en-US" w:eastAsia="zh-CN"/>
        </w:rPr>
        <w:t xml:space="preserve">       元（人民币大写：  元整）。合同期届满(或因客观原因双方协商同意解除合同)，且乙方无违反合同条款的,甲方应在30天内将履约保证金全额无息退回给乙方。若乙方尚有未结清的费用，甲方有权从履约保证金中扣除，对乙方履约保证金中不足以扣除未结清的费用享有追索权，若乙方有违反本合同条款的，履约保证金不予退回。</w:t>
      </w:r>
    </w:p>
    <w:p w14:paraId="5DAFB3C5">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default"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第五条 租金和其他费用的支付方式及期限</w:t>
      </w:r>
    </w:p>
    <w:p w14:paraId="0F1A6103">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1.商铺租金按年度支付，实行先付租金后使用商铺的原则，每年租金</w:t>
      </w:r>
      <w:r>
        <w:rPr>
          <w:rFonts w:hint="default" w:ascii="仿宋_GB2312" w:hAnsi="仿宋_GB2312" w:eastAsia="仿宋_GB2312" w:cs="仿宋_GB2312"/>
          <w:spacing w:val="0"/>
          <w:kern w:val="2"/>
          <w:sz w:val="30"/>
          <w:szCs w:val="30"/>
          <w:highlight w:val="none"/>
          <w:lang w:val="en-US" w:eastAsia="zh-CN"/>
        </w:rPr>
        <w:t>¥</w:t>
      </w:r>
      <w:r>
        <w:rPr>
          <w:rFonts w:hint="eastAsia" w:ascii="仿宋_GB2312" w:hAnsi="仿宋_GB2312" w:eastAsia="仿宋_GB2312" w:cs="仿宋_GB2312"/>
          <w:spacing w:val="0"/>
          <w:kern w:val="2"/>
          <w:sz w:val="30"/>
          <w:szCs w:val="30"/>
          <w:highlight w:val="none"/>
          <w:lang w:val="en-US" w:eastAsia="zh-CN"/>
        </w:rPr>
        <w:t xml:space="preserve">      元（人民币大写：   元整），乙方须在本合同签订后5天内支付第一年度租金（2026年1月1日至2026年12月31日）。第二年度租金（2027年1月1日至2027年12月31日）须在2026年12月30日前支付。</w:t>
      </w:r>
    </w:p>
    <w:p w14:paraId="6C35557E">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2.乙方须按照上述约定的日期支付租金，租金以转账方式支付。</w:t>
      </w:r>
    </w:p>
    <w:p w14:paraId="4FDFD2C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3.乙方支付租金须转入甲方账号，开户全称：佛山市高明区杨和镇和兴顺建设投资有限公司，账号：80020000003667563，开户银行：佛山农村商业银行股份有限公司高明杨和支行。</w:t>
      </w:r>
    </w:p>
    <w:p w14:paraId="4472F2D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4.甲方应在租金到账后向乙方开具租赁普通发票。</w:t>
      </w:r>
    </w:p>
    <w:p w14:paraId="2F7686FF">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5.其他费用：水费、电费、网络费等费用由乙方自行向供应单位缴交，因欠费被停水停电而造成的后果由乙方自行负责。</w:t>
      </w:r>
    </w:p>
    <w:p w14:paraId="74AA4A1C">
      <w:pPr>
        <w:keepNext w:val="0"/>
        <w:keepLines w:val="0"/>
        <w:pageBreakBefore w:val="0"/>
        <w:widowControl/>
        <w:kinsoku/>
        <w:wordWrap/>
        <w:overflowPunct/>
        <w:topLinePunct w:val="0"/>
        <w:autoSpaceDE/>
        <w:autoSpaceDN/>
        <w:bidi w:val="0"/>
        <w:adjustRightInd/>
        <w:snapToGrid/>
        <w:spacing w:after="0" w:line="520" w:lineRule="exact"/>
        <w:ind w:left="0" w:leftChars="0" w:firstLine="562" w:firstLineChars="200"/>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第六条</w:t>
      </w:r>
      <w:r>
        <w:rPr>
          <w:rFonts w:hint="eastAsia" w:ascii="仿宋_GB2312" w:hAnsi="仿宋_GB2312" w:eastAsia="仿宋_GB2312" w:cs="仿宋_GB2312"/>
          <w:spacing w:val="0"/>
          <w:kern w:val="2"/>
          <w:sz w:val="28"/>
          <w:szCs w:val="28"/>
          <w:highlight w:val="none"/>
          <w:lang w:val="en-US" w:eastAsia="zh-CN" w:bidi="ar-SA"/>
        </w:rPr>
        <w:t xml:space="preserve"> </w:t>
      </w:r>
      <w:r>
        <w:rPr>
          <w:rFonts w:hint="eastAsia" w:ascii="仿宋_GB2312" w:hAnsi="仿宋_GB2312" w:eastAsia="仿宋_GB2312" w:cs="仿宋_GB2312"/>
          <w:b/>
          <w:bCs/>
          <w:spacing w:val="0"/>
          <w:kern w:val="2"/>
          <w:sz w:val="28"/>
          <w:szCs w:val="28"/>
          <w:highlight w:val="none"/>
          <w:lang w:val="en-US" w:eastAsia="zh-CN"/>
        </w:rPr>
        <w:t>商铺的装修和维修养护</w:t>
      </w:r>
    </w:p>
    <w:p w14:paraId="16463335">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1.乙方根据经营的需要可以对商铺进行装修，但装修过程不得破坏建筑主体的结构安全。</w:t>
      </w:r>
    </w:p>
    <w:p w14:paraId="61069BEC">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2.装修过程要接受甲方的监督。</w:t>
      </w:r>
    </w:p>
    <w:p w14:paraId="460F669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合同期届满后，对于装修及投入的设施，除可活动的财产（即可进行拆卸而不损坏租赁物及装饰）乙方可自行搬走，其他所有入墙、入地的固定装修及设施（含土建部分及水、电、消防的设施）无偿归甲方所有，乙方应确保其能正常使用状态移交给甲方。如乙方故意损坏装修设施的，乙方应向甲方支付实际发生的维修费用。</w:t>
      </w:r>
    </w:p>
    <w:p w14:paraId="0C9D8945">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4.从商铺交付之日起，乙方租赁范围内商铺主体和其附属设施及因经营需要而安装的设备其日常维护保养责任和费用均由乙方负责。</w:t>
      </w:r>
    </w:p>
    <w:p w14:paraId="1EC185E4">
      <w:pPr>
        <w:keepNext w:val="0"/>
        <w:keepLines w:val="0"/>
        <w:pageBreakBefore w:val="0"/>
        <w:widowControl/>
        <w:kinsoku/>
        <w:wordWrap/>
        <w:overflowPunct/>
        <w:topLinePunct w:val="0"/>
        <w:autoSpaceDE/>
        <w:autoSpaceDN/>
        <w:bidi w:val="0"/>
        <w:adjustRightInd/>
        <w:snapToGrid/>
        <w:spacing w:after="0" w:line="520" w:lineRule="exact"/>
        <w:ind w:left="0" w:leftChars="0" w:firstLine="562" w:firstLineChars="200"/>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第七条 甲方权利及义务</w:t>
      </w:r>
    </w:p>
    <w:p w14:paraId="694B8428">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1.甲方有权对该租赁物的使用进行监督，发现乙方违反本合同条款，甲方有权终止合同并无条件收回商铺。</w:t>
      </w:r>
    </w:p>
    <w:p w14:paraId="2B7A17FA">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2.有权按约定收取租金及其他费用。</w:t>
      </w:r>
    </w:p>
    <w:p w14:paraId="4C29B97E">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3.应于2026年1月1日前将租赁的商铺交付乙方使用。</w:t>
      </w:r>
    </w:p>
    <w:p w14:paraId="0F73DF3A">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4.乙方办理营业执照及相关证件的，甲方应协助提供商铺使用权的文件资料，由乙方负责自行到相关部门办理，因此而产生的所有费用乙方自行承担。</w:t>
      </w:r>
    </w:p>
    <w:p w14:paraId="2C5AF803">
      <w:pPr>
        <w:keepNext w:val="0"/>
        <w:keepLines w:val="0"/>
        <w:pageBreakBefore w:val="0"/>
        <w:widowControl/>
        <w:kinsoku/>
        <w:wordWrap/>
        <w:overflowPunct/>
        <w:topLinePunct w:val="0"/>
        <w:autoSpaceDE/>
        <w:autoSpaceDN/>
        <w:bidi w:val="0"/>
        <w:adjustRightInd/>
        <w:snapToGrid/>
        <w:spacing w:after="0" w:line="520" w:lineRule="exact"/>
        <w:ind w:left="0" w:leftChars="0" w:firstLine="562" w:firstLineChars="200"/>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第八条 乙方权利及义务</w:t>
      </w:r>
    </w:p>
    <w:p w14:paraId="313AE15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1.乙方在合同期内有权依法使用该商铺，但须按照合同约定缴纳租金。</w:t>
      </w:r>
    </w:p>
    <w:p w14:paraId="10BB0E2C">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2.租赁期间，乙方负责对商铺建筑主体及其的所有设施进行维护、保养，不得对商铺有破坏行为。</w:t>
      </w:r>
    </w:p>
    <w:p w14:paraId="029ACD6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必须遵守有关法律法规，自行办理经营所需的证照，做到合法经营、依法纳税、文明经商。商铺交付后一切经营活动和使用商铺而产生的债权债务、纠纷及其各项税费均由乙方负责，并承担一切经济和法律责任。</w:t>
      </w:r>
    </w:p>
    <w:p w14:paraId="56F7792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4.未经甲方同意乙方不得以任何形式将该商铺转租给第三方使用。</w:t>
      </w:r>
    </w:p>
    <w:p w14:paraId="7380FA8F">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5.乙方要注意经营安全及用电、用水等安全防护，在租赁期间乙方作为商铺的承租人和实际使用者，因使用该商铺而产生的各种安全生产责任由乙方负责。</w:t>
      </w:r>
    </w:p>
    <w:p w14:paraId="292ABACA">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6.乙方经营过程发现有其他违法经营行为的可以向管理部门反映（或投诉），甲乙双方是平等的民事主体，乙方不能以其他人经营同样商品但无领取证照而要求甲方去处理或把责任归咎于甲方，也不得以此理由拒缴租金及其他费用。</w:t>
      </w:r>
    </w:p>
    <w:p w14:paraId="35DBE72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7.合同期届满（或提前终止），乙方须在合同终止之日起5天内搬离商铺及交回锁匙，并结清水、电、网络等费用。不按时交回锁匙的甲方每天按原租金金额加1倍收取乙方占用费，超过10天还不清理商铺内的物品作乙方放弃权属由甲方处置并收回商铺。</w:t>
      </w:r>
    </w:p>
    <w:p w14:paraId="036B9EB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8.本合同期届满（或提前终止）之日起10天内，乙方须向有关部门注销或变更乙方以该商铺作为登记注册地址之用途的证照，并向甲方出示相关证明。</w:t>
      </w:r>
    </w:p>
    <w:p w14:paraId="50DCEE80">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第九条 违约责任</w:t>
      </w:r>
    </w:p>
    <w:p w14:paraId="62F4D9BC">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b w:val="0"/>
          <w:bCs w:val="0"/>
          <w:spacing w:val="0"/>
          <w:kern w:val="2"/>
          <w:sz w:val="30"/>
          <w:szCs w:val="30"/>
          <w:highlight w:val="none"/>
          <w:lang w:val="en-US" w:eastAsia="zh-CN"/>
        </w:rPr>
        <w:t>1.本合同履行过</w:t>
      </w:r>
      <w:r>
        <w:rPr>
          <w:rFonts w:hint="eastAsia" w:ascii="仿宋_GB2312" w:hAnsi="仿宋_GB2312" w:eastAsia="仿宋_GB2312" w:cs="仿宋_GB2312"/>
          <w:spacing w:val="0"/>
          <w:kern w:val="2"/>
          <w:sz w:val="30"/>
          <w:szCs w:val="30"/>
          <w:highlight w:val="none"/>
          <w:lang w:val="en-US" w:eastAsia="zh-CN"/>
        </w:rPr>
        <w:t>程中，乙方擅自将商铺进行转租、分租等违反本合同约定行为的，甲方有权解除合同收回商铺。</w:t>
      </w:r>
    </w:p>
    <w:p w14:paraId="23A43E1A">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2.乙方逾期交付履约保证金、租金等所有应交费用的，每逾期一天乙方按应付未付款项的0.5%向甲方支付违约金,逾期超过5天的，属于乙方违约，甲方有权无条件收回商铺。</w:t>
      </w:r>
    </w:p>
    <w:p w14:paraId="107B8005">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3.乙方违反合同条款的，履约保证金不予退回，因此而对甲方造成经济及其他损失的还须承担赔偿责任。</w:t>
      </w:r>
    </w:p>
    <w:p w14:paraId="1D1692DF">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4.甲方违反合同条款的，须双倍退还履约保证金，因此而对乙方造成经济及其他损失的还须承担赔偿责任。</w:t>
      </w:r>
    </w:p>
    <w:p w14:paraId="7BEF59E6">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5.因政府征收该场所、该土地使用规划改变或政府管理部门依法决策致使该商铺不能从事经营活动而要解除合同的，双方均免除赔偿责任。</w:t>
      </w:r>
    </w:p>
    <w:p w14:paraId="1EC44F0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default"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6.遇上不可抗力因素导致本合同无法履行的，双方均不追究对方的责任，租赁物因此受到损害的乙方必须及时将情况报告给甲方。</w:t>
      </w:r>
    </w:p>
    <w:p w14:paraId="57FD639A">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第十条 合同的生效</w:t>
      </w:r>
    </w:p>
    <w:p w14:paraId="60BE5823">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（一）如本合同需作补充或变更的，甲、乙双方可另行协商，协商同意后签订</w:t>
      </w:r>
      <w:bookmarkStart w:id="1" w:name="_GoBack"/>
      <w:bookmarkEnd w:id="1"/>
      <w:r>
        <w:rPr>
          <w:rFonts w:hint="eastAsia" w:ascii="仿宋_GB2312" w:hAnsi="仿宋_GB2312" w:eastAsia="仿宋_GB2312" w:cs="仿宋_GB2312"/>
          <w:spacing w:val="0"/>
          <w:kern w:val="2"/>
          <w:sz w:val="30"/>
          <w:szCs w:val="30"/>
          <w:highlight w:val="none"/>
          <w:lang w:val="en-US" w:eastAsia="zh-CN"/>
        </w:rPr>
        <w:t>补充协议，补充协议与本合同具有同等法律效力。</w:t>
      </w:r>
    </w:p>
    <w:p w14:paraId="221BBA2A">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二）本合同之订立、变更、解除及诉讼均适用中华人民共和国法律，并受其约束，甲、乙双方在本合同执行过程中发生争议，应本着友好精神协商解决，如协商不成，可依法向法院起诉，由高明区人民法院管辖。</w:t>
      </w:r>
    </w:p>
    <w:p w14:paraId="141251D9">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（三）本合同正本一式叁份，甲方执两份，乙方执一份，各份具有同等法律效力，自双方签字（盖章）之日起生效。</w:t>
      </w:r>
    </w:p>
    <w:p w14:paraId="762DF6CE">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 xml:space="preserve"> 第十一条 资料送达</w:t>
      </w:r>
    </w:p>
    <w:p w14:paraId="5A5DF876">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为联络和送达方便，各自确认的送达地址及联系电话如下：</w:t>
      </w:r>
    </w:p>
    <w:p w14:paraId="4E3C9C2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 xml:space="preserve">甲方：佛山市高明区杨和镇高明大道中69号201房（电话0757-88801921）。                        </w:t>
      </w:r>
    </w:p>
    <w:p w14:paraId="35A030CE">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 xml:space="preserve">乙方：                  </w:t>
      </w:r>
    </w:p>
    <w:p w14:paraId="1F24128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600" w:firstLineChars="200"/>
        <w:textAlignment w:val="auto"/>
        <w:rPr>
          <w:rFonts w:hint="eastAsia" w:ascii="仿宋_GB2312" w:hAnsi="仿宋_GB2312" w:eastAsia="仿宋_GB2312" w:cs="仿宋_GB2312"/>
          <w:spacing w:val="0"/>
          <w:kern w:val="2"/>
          <w:sz w:val="30"/>
          <w:szCs w:val="30"/>
          <w:highlight w:val="none"/>
          <w:lang w:val="en-US" w:eastAsia="zh-CN"/>
        </w:rPr>
      </w:pPr>
      <w:r>
        <w:rPr>
          <w:rFonts w:hint="eastAsia" w:ascii="仿宋_GB2312" w:hAnsi="仿宋_GB2312" w:eastAsia="仿宋_GB2312" w:cs="仿宋_GB2312"/>
          <w:spacing w:val="0"/>
          <w:kern w:val="2"/>
          <w:sz w:val="30"/>
          <w:szCs w:val="30"/>
          <w:highlight w:val="none"/>
          <w:lang w:val="en-US" w:eastAsia="zh-CN"/>
        </w:rPr>
        <w:t>按上述地址的送达均视为合法有效的送达，任何一方地址变更的，应在变更后15日内书面通知对方，否则，对方依上述地址的送达仍为合法有效之送达。</w:t>
      </w:r>
    </w:p>
    <w:p w14:paraId="65E7D199">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eastAsia"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【特别说明：本合同中的任何条款，均由甲方、乙方经过充分协商后而订立，均为甲方、乙方的真实意思表示】。</w:t>
      </w:r>
    </w:p>
    <w:p w14:paraId="43D19998">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0" w:firstLineChars="0"/>
        <w:jc w:val="both"/>
        <w:textAlignment w:val="auto"/>
        <w:rPr>
          <w:rFonts w:hint="eastAsia" w:ascii="仿宋_GB2312" w:hAnsi="仿宋_GB2312" w:eastAsia="仿宋_GB2312" w:cs="仿宋_GB2312"/>
          <w:b/>
          <w:bCs/>
          <w:spacing w:val="0"/>
          <w:kern w:val="2"/>
          <w:sz w:val="28"/>
          <w:szCs w:val="28"/>
          <w:highlight w:val="none"/>
          <w:lang w:val="en-US" w:eastAsia="zh-CN"/>
        </w:rPr>
      </w:pPr>
    </w:p>
    <w:p w14:paraId="1086DF77">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2" w:firstLineChars="200"/>
        <w:jc w:val="both"/>
        <w:textAlignment w:val="auto"/>
        <w:rPr>
          <w:rFonts w:hint="default" w:ascii="仿宋_GB2312" w:hAnsi="仿宋_GB2312" w:eastAsia="仿宋_GB2312" w:cs="仿宋_GB2312"/>
          <w:b/>
          <w:bCs/>
          <w:spacing w:val="0"/>
          <w:kern w:val="2"/>
          <w:sz w:val="28"/>
          <w:szCs w:val="28"/>
          <w:highlight w:val="none"/>
          <w:lang w:val="en-US" w:eastAsia="zh-CN"/>
        </w:rPr>
      </w:pPr>
      <w:r>
        <w:rPr>
          <w:rFonts w:hint="eastAsia" w:ascii="仿宋_GB2312" w:hAnsi="仿宋_GB2312" w:eastAsia="仿宋_GB2312" w:cs="仿宋_GB2312"/>
          <w:b/>
          <w:bCs/>
          <w:spacing w:val="0"/>
          <w:kern w:val="2"/>
          <w:sz w:val="28"/>
          <w:szCs w:val="28"/>
          <w:highlight w:val="none"/>
          <w:lang w:val="en-US" w:eastAsia="zh-CN"/>
        </w:rPr>
        <w:t>附件：1、商铺实景图</w:t>
      </w:r>
    </w:p>
    <w:p w14:paraId="58860B07">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0" w:firstLineChars="0"/>
        <w:jc w:val="both"/>
        <w:textAlignment w:val="auto"/>
        <w:rPr>
          <w:rFonts w:hint="eastAsia" w:ascii="仿宋_GB2312" w:hAnsi="仿宋_GB2312" w:eastAsia="仿宋_GB2312" w:cs="仿宋_GB2312"/>
          <w:b/>
          <w:bCs/>
          <w:spacing w:val="0"/>
          <w:kern w:val="2"/>
          <w:sz w:val="28"/>
          <w:szCs w:val="28"/>
          <w:highlight w:val="none"/>
          <w:lang w:val="en-US" w:eastAsia="zh-CN"/>
        </w:rPr>
      </w:pPr>
    </w:p>
    <w:p w14:paraId="348CF983">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甲方：(盖章）                  乙方：</w:t>
      </w:r>
    </w:p>
    <w:p w14:paraId="1A9CDF77">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代表签名：                     代表签名：</w:t>
      </w:r>
    </w:p>
    <w:p w14:paraId="7C32BB7E">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联系电话：88801921             联系电话：</w:t>
      </w:r>
    </w:p>
    <w:p w14:paraId="736A3CFD">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firstLine="560" w:firstLineChars="20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 xml:space="preserve">                     </w:t>
      </w:r>
    </w:p>
    <w:p w14:paraId="7D335C5F">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3920" w:firstLineChars="1400"/>
        <w:jc w:val="both"/>
        <w:textAlignment w:val="auto"/>
        <w:rPr>
          <w:rFonts w:hint="eastAsia" w:ascii="仿宋_GB2312" w:hAnsi="仿宋_GB2312" w:eastAsia="仿宋_GB2312" w:cs="仿宋_GB2312"/>
          <w:spacing w:val="0"/>
          <w:kern w:val="2"/>
          <w:sz w:val="28"/>
          <w:szCs w:val="28"/>
          <w:highlight w:val="none"/>
          <w:lang w:val="en-US" w:eastAsia="zh-CN"/>
        </w:rPr>
      </w:pPr>
      <w:r>
        <w:rPr>
          <w:rFonts w:hint="eastAsia" w:ascii="仿宋_GB2312" w:hAnsi="仿宋_GB2312" w:eastAsia="仿宋_GB2312" w:cs="仿宋_GB2312"/>
          <w:spacing w:val="0"/>
          <w:kern w:val="2"/>
          <w:sz w:val="28"/>
          <w:szCs w:val="28"/>
          <w:highlight w:val="none"/>
          <w:lang w:val="en-US" w:eastAsia="zh-CN"/>
        </w:rPr>
        <w:t xml:space="preserve"> 本合同签订时间：  2025年   月   日</w:t>
      </w:r>
    </w:p>
    <w:p w14:paraId="4C276B30">
      <w:pPr>
        <w:keepNext w:val="0"/>
        <w:keepLines w:val="0"/>
        <w:pageBreakBefore w:val="0"/>
        <w:widowControl w:val="0"/>
        <w:kinsoku/>
        <w:wordWrap/>
        <w:overflowPunct/>
        <w:topLinePunct w:val="0"/>
        <w:autoSpaceDE/>
        <w:autoSpaceDN/>
        <w:bidi w:val="0"/>
        <w:adjustRightInd/>
        <w:snapToGrid/>
        <w:spacing w:after="0" w:afterLines="0" w:afterAutospacing="0" w:line="240" w:lineRule="auto"/>
        <w:ind w:left="0" w:leftChars="0" w:firstLine="0" w:firstLineChars="0"/>
        <w:jc w:val="both"/>
        <w:textAlignment w:val="auto"/>
        <w:rPr>
          <w:rFonts w:hint="default" w:ascii="仿宋_GB2312" w:hAnsi="仿宋_GB2312" w:eastAsia="仿宋_GB2312" w:cs="仿宋_GB2312"/>
          <w:spacing w:val="0"/>
          <w:kern w:val="2"/>
          <w:sz w:val="28"/>
          <w:szCs w:val="28"/>
          <w:highlight w:val="none"/>
          <w:lang w:val="en-US" w:eastAsia="zh-CN"/>
        </w:rPr>
      </w:pPr>
      <w:r>
        <w:rPr>
          <w:rFonts w:hint="default" w:ascii="仿宋_GB2312" w:hAnsi="仿宋_GB2312" w:eastAsia="仿宋_GB2312" w:cs="仿宋_GB2312"/>
          <w:spacing w:val="0"/>
          <w:kern w:val="2"/>
          <w:sz w:val="28"/>
          <w:szCs w:val="28"/>
          <w:highlight w:val="none"/>
          <w:lang w:val="en-US" w:eastAsia="zh-CN"/>
        </w:rPr>
        <w:drawing>
          <wp:inline distT="0" distB="0" distL="114300" distR="114300">
            <wp:extent cx="5615940" cy="4210050"/>
            <wp:effectExtent l="0" t="0" r="7620" b="11430"/>
            <wp:docPr id="2" name="图片 2" descr="杜鹃路商铺现状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杜鹃路商铺现状图"/>
                    <pic:cNvPicPr>
                      <a:picLocks noChangeAspect="1"/>
                    </pic:cNvPicPr>
                  </pic:nvPicPr>
                  <pic:blipFill>
                    <a:blip r:embed="rId7"/>
                    <a:stretch>
                      <a:fillRect/>
                    </a:stretch>
                  </pic:blipFill>
                  <pic:spPr>
                    <a:xfrm>
                      <a:off x="0" y="0"/>
                      <a:ext cx="5615940" cy="4210050"/>
                    </a:xfrm>
                    <a:prstGeom prst="rect">
                      <a:avLst/>
                    </a:prstGeom>
                  </pic:spPr>
                </pic:pic>
              </a:graphicData>
            </a:graphic>
          </wp:inline>
        </w:drawing>
      </w:r>
    </w:p>
    <w:sectPr>
      <w:footerReference r:id="rId5" w:type="default"/>
      <w:pgSz w:w="11906" w:h="16838"/>
      <w:pgMar w:top="2098" w:right="1474" w:bottom="1984" w:left="1587"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34951C">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9D13FA">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69D13FA">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B2355C"/>
    <w:rsid w:val="010B066E"/>
    <w:rsid w:val="023029BF"/>
    <w:rsid w:val="031A057A"/>
    <w:rsid w:val="03EE33BF"/>
    <w:rsid w:val="072B7E72"/>
    <w:rsid w:val="08DF14C1"/>
    <w:rsid w:val="098E5FA7"/>
    <w:rsid w:val="0D8853B5"/>
    <w:rsid w:val="0F5802D1"/>
    <w:rsid w:val="10A5002C"/>
    <w:rsid w:val="114C4035"/>
    <w:rsid w:val="115E378C"/>
    <w:rsid w:val="125E0B52"/>
    <w:rsid w:val="14181987"/>
    <w:rsid w:val="19597C05"/>
    <w:rsid w:val="19BF29B4"/>
    <w:rsid w:val="1A562A72"/>
    <w:rsid w:val="1D601DE5"/>
    <w:rsid w:val="1E543831"/>
    <w:rsid w:val="1F302CE2"/>
    <w:rsid w:val="1FB2355C"/>
    <w:rsid w:val="210A631C"/>
    <w:rsid w:val="22E222CE"/>
    <w:rsid w:val="235C4830"/>
    <w:rsid w:val="23B854CD"/>
    <w:rsid w:val="245711E5"/>
    <w:rsid w:val="2825401A"/>
    <w:rsid w:val="2ADB7D7A"/>
    <w:rsid w:val="2C904250"/>
    <w:rsid w:val="2DE81A65"/>
    <w:rsid w:val="2E937C0B"/>
    <w:rsid w:val="2F2467DA"/>
    <w:rsid w:val="308329D5"/>
    <w:rsid w:val="330D7F36"/>
    <w:rsid w:val="3396435C"/>
    <w:rsid w:val="3AF85078"/>
    <w:rsid w:val="4150015F"/>
    <w:rsid w:val="42CA1781"/>
    <w:rsid w:val="45976605"/>
    <w:rsid w:val="47CA4753"/>
    <w:rsid w:val="49962991"/>
    <w:rsid w:val="49A340EF"/>
    <w:rsid w:val="4C0A0489"/>
    <w:rsid w:val="4DC349DD"/>
    <w:rsid w:val="51DA6ED6"/>
    <w:rsid w:val="53AD33B3"/>
    <w:rsid w:val="54505185"/>
    <w:rsid w:val="54D878DE"/>
    <w:rsid w:val="56023DD4"/>
    <w:rsid w:val="56912169"/>
    <w:rsid w:val="5A6A0B89"/>
    <w:rsid w:val="5C174294"/>
    <w:rsid w:val="5CEF7BA8"/>
    <w:rsid w:val="5DCC7A9A"/>
    <w:rsid w:val="5E2B7EEF"/>
    <w:rsid w:val="60C310FC"/>
    <w:rsid w:val="61137E1A"/>
    <w:rsid w:val="67C3712C"/>
    <w:rsid w:val="687F5B11"/>
    <w:rsid w:val="689C5510"/>
    <w:rsid w:val="698F071F"/>
    <w:rsid w:val="69D85E43"/>
    <w:rsid w:val="6BCD4222"/>
    <w:rsid w:val="6D416E98"/>
    <w:rsid w:val="6E296D1B"/>
    <w:rsid w:val="6EC408B4"/>
    <w:rsid w:val="702508E8"/>
    <w:rsid w:val="71666B17"/>
    <w:rsid w:val="73AF3B8C"/>
    <w:rsid w:val="76F53C3E"/>
    <w:rsid w:val="774D7DB1"/>
    <w:rsid w:val="78D5544C"/>
    <w:rsid w:val="7B1D19B6"/>
    <w:rsid w:val="7D217275"/>
    <w:rsid w:val="7D4D68A0"/>
    <w:rsid w:val="7FD94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40" w:afterLines="0" w:line="240" w:lineRule="atLeast"/>
      <w:ind w:left="1080"/>
    </w:pPr>
    <w:rPr>
      <w:rFonts w:ascii="Arial" w:hAnsi="Arial" w:eastAsia="宋体" w:cs="Times New Roman"/>
      <w:spacing w:val="-5"/>
      <w:sz w:val="21"/>
      <w:szCs w:val="22"/>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qFormat/>
    <w:uiPriority w:val="0"/>
    <w:rPr>
      <w:rFonts w:cs="Times New Roman"/>
      <w:color w:val="0000FF"/>
      <w:u w:val="single"/>
    </w:rPr>
  </w:style>
  <w:style w:type="paragraph" w:customStyle="1" w:styleId="7">
    <w:name w:val="列出段落1"/>
    <w:basedOn w:val="1"/>
    <w:autoRedefine/>
    <w:qFormat/>
    <w:uiPriority w:val="99"/>
    <w:pPr>
      <w:ind w:left="480" w:leftChars="200"/>
    </w:pPr>
  </w:style>
  <w:style w:type="paragraph" w:customStyle="1" w:styleId="8">
    <w:name w:val="正文 New"/>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2795</Words>
  <Characters>2910</Characters>
  <Lines>0</Lines>
  <Paragraphs>0</Paragraphs>
  <TotalTime>0</TotalTime>
  <ScaleCrop>false</ScaleCrop>
  <LinksUpToDate>false</LinksUpToDate>
  <CharactersWithSpaces>3102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2025-07-01T03:17:00Z</dcterms:created>
  <dc:creator>真个性</dc:creator>
  <cp:lastModifiedBy>WPS_1554968589</cp:lastModifiedBy>
  <dcterms:modified xsi:type="dcterms:W3CDTF">2025-12-02T08:53:57Z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7D87A037C17D4F36BFA1582DB73009FF_13</vt:lpwstr>
  </property>
  <property fmtid="{D5CDD505-2E9C-101B-9397-08002B2CF9AE}" pid="4" name="KSOTemplateDocerSaveRecord">
    <vt:lpwstr>eyJoZGlkIjoiOTU4ZTE0YWY3ZjVmNzQ5N2UzMWYxYmRmMGZkMzg4NzYiLCJ1c2VySWQiOiI1MjM1MTc4OTYifQ==</vt:lpwstr>
  </property>
</Properties>
</file>