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5169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39995" cy="7127875"/>
            <wp:effectExtent l="0" t="0" r="4445" b="4445"/>
            <wp:docPr id="1" name="图片 1" descr="附件2-1：商铺平面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2-1：商铺平面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039995" cy="712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115810" cy="5039995"/>
            <wp:effectExtent l="0" t="0" r="1270" b="4445"/>
            <wp:docPr id="2" name="图片 2" descr="附件2-3：商铺效果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附件2-3：商铺效果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15810" cy="503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13" w:right="113" w:bottom="113" w:left="11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BA4711"/>
    <w:rsid w:val="740458FF"/>
    <w:rsid w:val="742F3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2025-12-08T02:10:06Z</dcterms:created>
  <dc:creator>Administrator</dc:creator>
  <cp:lastModifiedBy>杨和镇公资办</cp:lastModifiedBy>
  <dcterms:modified xsi:type="dcterms:W3CDTF">2025-12-08T02:14:43Z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eyJoZGlkIjoiZjdjMjFmODVhMjcyYzY1YTIyZmVlNDM5NWVhNTlkZDEifQ==</vt:lpwstr>
  </property>
  <property fmtid="{D5CDD505-2E9C-101B-9397-08002B2CF9AE}" pid="4" name="ICV">
    <vt:lpwstr>35D86FF1E97C4F40A1CD87A36C5D8556_12</vt:lpwstr>
  </property>
</Properties>
</file>